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3"/>
        <w:ind w:firstLine="0" w:firstLineChars="0"/>
        <w:rPr>
          <w:rFonts w:eastAsia="黑体"/>
          <w:b/>
          <w:bCs/>
          <w:sz w:val="84"/>
        </w:rPr>
      </w:pPr>
    </w:p>
    <w:p>
      <w:pPr>
        <w:pStyle w:val="83"/>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83"/>
        <w:ind w:firstLine="0" w:firstLineChars="0"/>
        <w:jc w:val="both"/>
        <w:rPr>
          <w:rFonts w:hint="eastAsia" w:ascii="楷体" w:hAnsi="楷体" w:eastAsia="楷体" w:cs="楷体"/>
          <w:b/>
          <w:bCs/>
          <w:sz w:val="36"/>
          <w:szCs w:val="36"/>
        </w:rPr>
      </w:pPr>
    </w:p>
    <w:p>
      <w:pPr>
        <w:pStyle w:val="83"/>
        <w:ind w:firstLine="0" w:firstLineChars="0"/>
        <w:jc w:val="both"/>
        <w:rPr>
          <w:rFonts w:hint="eastAsia" w:ascii="楷体" w:hAnsi="楷体" w:eastAsia="楷体" w:cs="楷体"/>
          <w:b/>
          <w:bCs/>
          <w:sz w:val="36"/>
          <w:szCs w:val="36"/>
        </w:rPr>
      </w:pPr>
    </w:p>
    <w:p>
      <w:pPr>
        <w:jc w:val="center"/>
        <w:rPr>
          <w:rFonts w:hint="eastAsia" w:ascii="楷体" w:hAnsi="楷体" w:eastAsia="楷体" w:cs="楷体"/>
          <w:b/>
          <w:bCs/>
          <w:sz w:val="40"/>
          <w:szCs w:val="40"/>
        </w:rPr>
      </w:pPr>
      <w:r>
        <w:rPr>
          <w:rFonts w:hint="eastAsia" w:ascii="楷体" w:hAnsi="楷体" w:eastAsia="楷体" w:cs="楷体"/>
          <w:b/>
          <w:bCs/>
          <w:sz w:val="40"/>
          <w:szCs w:val="40"/>
        </w:rPr>
        <w:t>项目名称：南京交通职业技术学院</w:t>
      </w:r>
      <w:r>
        <w:rPr>
          <w:rFonts w:hint="eastAsia" w:ascii="楷体" w:hAnsi="楷体" w:eastAsia="楷体" w:cs="楷体"/>
          <w:b/>
          <w:bCs/>
          <w:sz w:val="40"/>
          <w:szCs w:val="40"/>
          <w:lang w:eastAsia="zh-CN"/>
        </w:rPr>
        <w:t>食堂燃气炉灶集中更换工程</w:t>
      </w:r>
      <w:r>
        <w:rPr>
          <w:rFonts w:hint="eastAsia" w:ascii="楷体" w:hAnsi="楷体" w:eastAsia="楷体" w:cs="楷体"/>
          <w:b/>
          <w:bCs/>
          <w:sz w:val="40"/>
          <w:szCs w:val="40"/>
        </w:rPr>
        <w:t>采购项目</w:t>
      </w:r>
    </w:p>
    <w:p>
      <w:pPr>
        <w:spacing w:after="156" w:afterLines="50" w:line="640" w:lineRule="exact"/>
        <w:jc w:val="center"/>
        <w:rPr>
          <w:rFonts w:hint="eastAsia" w:ascii="楷体" w:hAnsi="楷体" w:eastAsia="楷体" w:cs="楷体"/>
          <w:b/>
          <w:bCs/>
          <w:sz w:val="40"/>
          <w:szCs w:val="40"/>
        </w:rPr>
      </w:pPr>
    </w:p>
    <w:p>
      <w:pPr>
        <w:spacing w:line="640" w:lineRule="exact"/>
        <w:jc w:val="both"/>
        <w:rPr>
          <w:rFonts w:hint="default" w:ascii="楷体" w:hAnsi="楷体" w:eastAsia="楷体" w:cs="楷体"/>
          <w:b/>
          <w:bCs/>
          <w:sz w:val="40"/>
          <w:szCs w:val="40"/>
          <w:lang w:val="en-US" w:eastAsia="zh-CN"/>
        </w:rPr>
      </w:pPr>
      <w:r>
        <w:rPr>
          <w:rFonts w:hint="eastAsia" w:ascii="楷体" w:hAnsi="楷体" w:eastAsia="楷体" w:cs="楷体"/>
          <w:b/>
          <w:bCs/>
          <w:sz w:val="40"/>
          <w:szCs w:val="40"/>
        </w:rPr>
        <w:t>项目编号：</w:t>
      </w:r>
      <w:r>
        <w:rPr>
          <w:rFonts w:hint="eastAsia" w:ascii="楷体" w:hAnsi="楷体" w:eastAsia="楷体" w:cs="楷体"/>
          <w:b/>
          <w:bCs/>
          <w:sz w:val="40"/>
          <w:szCs w:val="40"/>
          <w:lang w:eastAsia="zh-CN"/>
        </w:rPr>
        <w:t>JY20210</w:t>
      </w:r>
      <w:r>
        <w:rPr>
          <w:rFonts w:hint="eastAsia" w:ascii="楷体" w:hAnsi="楷体" w:eastAsia="楷体" w:cs="楷体"/>
          <w:b/>
          <w:bCs/>
          <w:sz w:val="40"/>
          <w:szCs w:val="40"/>
          <w:lang w:val="en-US" w:eastAsia="zh-CN"/>
        </w:rPr>
        <w:t>89</w:t>
      </w:r>
    </w:p>
    <w:p>
      <w:pPr>
        <w:pStyle w:val="83"/>
        <w:ind w:firstLine="0" w:firstLineChars="0"/>
        <w:jc w:val="both"/>
        <w:rPr>
          <w:rFonts w:ascii="宋体" w:hAnsi="宋体"/>
          <w:b/>
          <w:bCs/>
          <w:sz w:val="36"/>
          <w:szCs w:val="36"/>
        </w:rPr>
      </w:pPr>
    </w:p>
    <w:p>
      <w:pPr>
        <w:pStyle w:val="83"/>
        <w:ind w:firstLine="723"/>
        <w:jc w:val="both"/>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83"/>
        <w:ind w:firstLine="723"/>
        <w:jc w:val="center"/>
        <w:rPr>
          <w:rFonts w:hint="eastAsia" w:ascii="楷体" w:hAnsi="楷体" w:eastAsia="楷体" w:cs="楷体"/>
          <w:b/>
          <w:bCs/>
          <w:sz w:val="36"/>
          <w:szCs w:val="36"/>
        </w:rPr>
      </w:pPr>
    </w:p>
    <w:p>
      <w:pPr>
        <w:pStyle w:val="83"/>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w:t>
      </w:r>
      <w:r>
        <w:rPr>
          <w:rFonts w:hint="eastAsia" w:ascii="楷体" w:hAnsi="楷体" w:eastAsia="楷体" w:cs="楷体"/>
          <w:b/>
          <w:bCs/>
          <w:sz w:val="36"/>
          <w:szCs w:val="36"/>
          <w:lang w:val="en-US" w:eastAsia="zh-CN"/>
        </w:rPr>
        <w:t>一</w:t>
      </w:r>
      <w:r>
        <w:rPr>
          <w:rFonts w:hint="eastAsia" w:ascii="楷体" w:hAnsi="楷体" w:eastAsia="楷体" w:cs="楷体"/>
          <w:b/>
          <w:bCs/>
          <w:sz w:val="36"/>
          <w:szCs w:val="36"/>
        </w:rPr>
        <w:t xml:space="preserve"> 年 </w:t>
      </w:r>
      <w:r>
        <w:rPr>
          <w:rFonts w:hint="eastAsia" w:ascii="楷体" w:hAnsi="楷体" w:eastAsia="楷体" w:cs="楷体"/>
          <w:b/>
          <w:bCs/>
          <w:sz w:val="36"/>
          <w:szCs w:val="36"/>
          <w:lang w:eastAsia="zh-CN"/>
        </w:rPr>
        <w:t>七</w:t>
      </w:r>
      <w:r>
        <w:rPr>
          <w:rFonts w:hint="eastAsia" w:ascii="楷体" w:hAnsi="楷体" w:eastAsia="楷体" w:cs="楷体"/>
          <w:b/>
          <w:bCs/>
          <w:sz w:val="36"/>
          <w:szCs w:val="36"/>
        </w:rPr>
        <w:t xml:space="preserve"> 月</w:t>
      </w:r>
    </w:p>
    <w:p>
      <w:pPr>
        <w:pStyle w:val="83"/>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楷体" w:hAnsi="楷体" w:eastAsia="楷体" w:cs="楷体"/>
          <w:kern w:val="2"/>
          <w:sz w:val="21"/>
          <w:szCs w:val="21"/>
        </w:rPr>
        <w:br w:type="page"/>
      </w:r>
      <w:bookmarkStart w:id="0" w:name="_Toc120614210"/>
      <w:bookmarkStart w:id="1" w:name="_Toc20823272"/>
      <w:bookmarkStart w:id="2" w:name="_Toc513029200"/>
      <w:bookmarkStart w:id="3" w:name="_Toc523127445"/>
      <w:bookmarkStart w:id="4" w:name="_Toc16938516"/>
      <w:bookmarkStart w:id="5" w:name="_Toc479757206"/>
      <w:r>
        <w:rPr>
          <w:rFonts w:hint="eastAsia" w:ascii="方正仿宋_GBK" w:hAnsi="方正仿宋_GBK" w:eastAsia="方正仿宋_GBK" w:cs="方正仿宋_GBK"/>
          <w:b/>
          <w:bCs/>
          <w:sz w:val="32"/>
          <w:szCs w:val="32"/>
        </w:rPr>
        <w:t>目    录</w:t>
      </w:r>
    </w:p>
    <w:p>
      <w:pPr>
        <w:pStyle w:val="16"/>
        <w:tabs>
          <w:tab w:val="right" w:leader="dot" w:pos="8306"/>
          <w:tab w:val="clear" w:pos="8720"/>
        </w:tabs>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_Toc25979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第一章  采购邀请</w:t>
      </w:r>
      <w:r>
        <w:tab/>
      </w:r>
      <w:r>
        <w:fldChar w:fldCharType="begin"/>
      </w:r>
      <w:r>
        <w:instrText xml:space="preserve"> PAGEREF _Toc25979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_Toc484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一、采购项目简要说明</w:t>
      </w:r>
      <w:r>
        <w:tab/>
      </w:r>
      <w:r>
        <w:fldChar w:fldCharType="begin"/>
      </w:r>
      <w:r>
        <w:instrText xml:space="preserve"> PAGEREF _Toc484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二、合格磋商供应商资格要求</w:t>
      </w:r>
      <w:r>
        <w:tab/>
      </w:r>
      <w:r>
        <w:fldChar w:fldCharType="begin"/>
      </w:r>
      <w:r>
        <w:instrText xml:space="preserve"> PAGEREF _Toc22993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_Toc5888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三、磋商文件发布信息及报名要求</w:t>
      </w:r>
      <w:r>
        <w:tab/>
      </w:r>
      <w:r>
        <w:fldChar w:fldCharType="begin"/>
      </w:r>
      <w:r>
        <w:instrText xml:space="preserve"> PAGEREF _Toc5888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_Toc27453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四、响应文件</w:t>
      </w:r>
      <w:r>
        <w:tab/>
      </w:r>
      <w:r>
        <w:fldChar w:fldCharType="begin"/>
      </w:r>
      <w:r>
        <w:instrText xml:space="preserve"> PAGEREF _Toc27453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_Toc31510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五、磋商保证金</w:t>
      </w:r>
      <w:r>
        <w:tab/>
      </w:r>
      <w:r>
        <w:fldChar w:fldCharType="begin"/>
      </w:r>
      <w:r>
        <w:instrText xml:space="preserve"> PAGEREF _Toc31510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_Toc22031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r>
        <w:tab/>
      </w:r>
      <w:r>
        <w:fldChar w:fldCharType="begin"/>
      </w:r>
      <w:r>
        <w:instrText xml:space="preserve"> PAGEREF _Toc22031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_Toc21764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第二章  磋商须知</w:t>
      </w:r>
      <w:r>
        <w:tab/>
      </w:r>
      <w:r>
        <w:fldChar w:fldCharType="begin"/>
      </w:r>
      <w:r>
        <w:instrText xml:space="preserve"> PAGEREF _Toc21764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_Toc23092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一、总则</w:t>
      </w:r>
      <w:r>
        <w:tab/>
      </w:r>
      <w:r>
        <w:fldChar w:fldCharType="begin"/>
      </w:r>
      <w:r>
        <w:instrText xml:space="preserve"> PAGEREF _Toc23092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_Toc28523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二、响应文件编制</w:t>
      </w:r>
      <w:r>
        <w:tab/>
      </w:r>
      <w:r>
        <w:fldChar w:fldCharType="begin"/>
      </w:r>
      <w:r>
        <w:instrText xml:space="preserve"> PAGEREF _Toc28523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三、响应文件签署与提交</w:t>
      </w:r>
      <w:r>
        <w:tab/>
      </w:r>
      <w:r>
        <w:fldChar w:fldCharType="begin"/>
      </w:r>
      <w:r>
        <w:instrText xml:space="preserve"> PAGEREF _Toc163 \h </w:instrText>
      </w:r>
      <w:r>
        <w:fldChar w:fldCharType="separate"/>
      </w:r>
      <w:r>
        <w:t>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_Toc23763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四、磋商</w:t>
      </w:r>
      <w:r>
        <w:tab/>
      </w:r>
      <w:r>
        <w:fldChar w:fldCharType="begin"/>
      </w:r>
      <w:r>
        <w:instrText xml:space="preserve"> PAGEREF _Toc23763 \h </w:instrText>
      </w:r>
      <w:r>
        <w:fldChar w:fldCharType="separate"/>
      </w:r>
      <w:r>
        <w:t>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_Toc20846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r>
        <w:tab/>
      </w:r>
      <w:r>
        <w:fldChar w:fldCharType="begin"/>
      </w:r>
      <w:r>
        <w:instrText xml:space="preserve"> PAGEREF _Toc20846 \h </w:instrText>
      </w:r>
      <w:r>
        <w:fldChar w:fldCharType="separate"/>
      </w:r>
      <w:r>
        <w:t>10</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_Toc28167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第三章  项目需求</w:t>
      </w:r>
      <w:r>
        <w:tab/>
      </w:r>
      <w:r>
        <w:fldChar w:fldCharType="begin"/>
      </w:r>
      <w:r>
        <w:instrText xml:space="preserve"> PAGEREF _Toc28167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_Toc10032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w:t>
      </w:r>
      <w:r>
        <w:rPr>
          <w:rFonts w:hint="eastAsia" w:ascii="楷体" w:hAnsi="楷体" w:eastAsia="楷体" w:cs="楷体"/>
          <w:bCs/>
          <w:lang w:val="zh-CN"/>
        </w:rPr>
        <w:t>委托内容</w:t>
      </w:r>
      <w:r>
        <w:tab/>
      </w:r>
      <w:r>
        <w:fldChar w:fldCharType="begin"/>
      </w:r>
      <w:r>
        <w:instrText xml:space="preserve"> PAGEREF _Toc10032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_Toc5197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二、工期要求</w:t>
      </w:r>
      <w:r>
        <w:tab/>
      </w:r>
      <w:r>
        <w:fldChar w:fldCharType="begin"/>
      </w:r>
      <w:r>
        <w:instrText xml:space="preserve"> PAGEREF _Toc5197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_Toc29405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r>
        <w:tab/>
      </w:r>
      <w:r>
        <w:fldChar w:fldCharType="begin"/>
      </w:r>
      <w:r>
        <w:instrText xml:space="preserve"> PAGEREF _Toc29405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_Toc22117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r>
        <w:tab/>
      </w:r>
      <w:r>
        <w:fldChar w:fldCharType="begin"/>
      </w:r>
      <w:r>
        <w:instrText xml:space="preserve"> PAGEREF _Toc22117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r>
        <w:tab/>
      </w:r>
      <w:r>
        <w:fldChar w:fldCharType="begin"/>
      </w:r>
      <w:r>
        <w:instrText xml:space="preserve"> PAGEREF _Toc6993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_Toc30324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r>
        <w:tab/>
      </w:r>
      <w:r>
        <w:fldChar w:fldCharType="begin"/>
      </w:r>
      <w:r>
        <w:instrText xml:space="preserve"> PAGEREF _Toc30324 \h </w:instrText>
      </w:r>
      <w:r>
        <w:fldChar w:fldCharType="separate"/>
      </w:r>
      <w:r>
        <w:t>13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_Toc15880 </w:instrText>
      </w:r>
      <w:r>
        <w:rPr>
          <w:rFonts w:hint="eastAsia" w:ascii="方正仿宋_GBK" w:hAnsi="方正仿宋_GBK" w:eastAsia="方正仿宋_GBK" w:cs="方正仿宋_GBK"/>
          <w:szCs w:val="28"/>
        </w:rPr>
        <w:fldChar w:fldCharType="separate"/>
      </w:r>
      <w:r>
        <w:rPr>
          <w:rFonts w:hint="eastAsia" w:ascii="楷体" w:hAnsi="楷体" w:eastAsia="楷体" w:cs="楷体"/>
          <w:bCs/>
          <w:szCs w:val="44"/>
        </w:rPr>
        <w:t>第四章  评审方法和评审标准</w:t>
      </w:r>
      <w:r>
        <w:tab/>
      </w:r>
      <w:r>
        <w:fldChar w:fldCharType="begin"/>
      </w:r>
      <w:r>
        <w:instrText xml:space="preserve"> PAGEREF _Toc15880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_Toc6209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一、评标方法与定标原则</w:t>
      </w:r>
      <w:r>
        <w:tab/>
      </w:r>
      <w:r>
        <w:fldChar w:fldCharType="begin"/>
      </w:r>
      <w:r>
        <w:instrText xml:space="preserve"> PAGEREF _Toc6209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_Toc743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二、评标标准</w:t>
      </w:r>
      <w:r>
        <w:tab/>
      </w:r>
      <w:r>
        <w:fldChar w:fldCharType="begin"/>
      </w:r>
      <w:r>
        <w:instrText xml:space="preserve"> PAGEREF _Toc743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_Toc29299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第五章  磋商响应文件格式</w:t>
      </w:r>
      <w:r>
        <w:tab/>
      </w:r>
      <w:r>
        <w:fldChar w:fldCharType="begin"/>
      </w:r>
      <w:r>
        <w:instrText xml:space="preserve"> PAGEREF _Toc29299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_Toc769 </w:instrText>
      </w:r>
      <w:r>
        <w:rPr>
          <w:rFonts w:hint="eastAsia" w:ascii="方正仿宋_GBK" w:hAnsi="方正仿宋_GBK" w:eastAsia="方正仿宋_GBK" w:cs="方正仿宋_GBK"/>
          <w:szCs w:val="28"/>
        </w:rPr>
        <w:fldChar w:fldCharType="separate"/>
      </w:r>
      <w:r>
        <w:rPr>
          <w:rFonts w:hint="eastAsia" w:ascii="楷体" w:hAnsi="楷体" w:eastAsia="楷体" w:cs="楷体"/>
        </w:rPr>
        <w:t>一、磋商函</w:t>
      </w:r>
      <w:r>
        <w:tab/>
      </w:r>
      <w:r>
        <w:fldChar w:fldCharType="begin"/>
      </w:r>
      <w:r>
        <w:instrText xml:space="preserve"> PAGEREF _Toc769 \h </w:instrText>
      </w:r>
      <w:r>
        <w:fldChar w:fldCharType="separate"/>
      </w:r>
      <w:r>
        <w:t>19</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_Toc10933 </w:instrText>
      </w:r>
      <w:r>
        <w:rPr>
          <w:rFonts w:hint="eastAsia" w:ascii="方正仿宋_GBK" w:hAnsi="方正仿宋_GBK" w:eastAsia="方正仿宋_GBK" w:cs="方正仿宋_GBK"/>
          <w:szCs w:val="28"/>
        </w:rPr>
        <w:fldChar w:fldCharType="separate"/>
      </w:r>
      <w:r>
        <w:rPr>
          <w:rFonts w:hint="eastAsia" w:ascii="楷体" w:hAnsi="楷体" w:eastAsia="楷体" w:cs="楷体"/>
        </w:rPr>
        <w:t>二、报价表</w:t>
      </w:r>
      <w:r>
        <w:tab/>
      </w:r>
      <w:r>
        <w:fldChar w:fldCharType="begin"/>
      </w:r>
      <w:r>
        <w:instrText xml:space="preserve"> PAGEREF _Toc10933 \h </w:instrText>
      </w:r>
      <w:r>
        <w:fldChar w:fldCharType="separate"/>
      </w:r>
      <w:r>
        <w:t>20</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_Toc690 </w:instrText>
      </w:r>
      <w:r>
        <w:rPr>
          <w:rFonts w:hint="eastAsia" w:ascii="方正仿宋_GBK" w:hAnsi="方正仿宋_GBK" w:eastAsia="方正仿宋_GBK" w:cs="方正仿宋_GBK"/>
          <w:szCs w:val="28"/>
        </w:rPr>
        <w:fldChar w:fldCharType="separate"/>
      </w:r>
      <w:r>
        <w:rPr>
          <w:rFonts w:hint="eastAsia" w:ascii="楷体" w:hAnsi="楷体" w:eastAsia="楷体" w:cs="楷体"/>
        </w:rPr>
        <w:t>三、服务要求响应表</w:t>
      </w:r>
      <w:r>
        <w:tab/>
      </w:r>
      <w:r>
        <w:fldChar w:fldCharType="begin"/>
      </w:r>
      <w:r>
        <w:instrText xml:space="preserve"> PAGEREF _Toc690 \h </w:instrText>
      </w:r>
      <w:r>
        <w:fldChar w:fldCharType="separate"/>
      </w:r>
      <w:r>
        <w:t>21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_Toc15328 </w:instrText>
      </w:r>
      <w:r>
        <w:rPr>
          <w:rFonts w:hint="eastAsia" w:ascii="方正仿宋_GBK" w:hAnsi="方正仿宋_GBK" w:eastAsia="方正仿宋_GBK" w:cs="方正仿宋_GBK"/>
          <w:szCs w:val="28"/>
        </w:rPr>
        <w:fldChar w:fldCharType="separate"/>
      </w:r>
      <w:r>
        <w:rPr>
          <w:rFonts w:hint="eastAsia" w:ascii="楷体" w:hAnsi="楷体" w:eastAsia="楷体" w:cs="楷体"/>
        </w:rPr>
        <w:t>四、服务方案</w:t>
      </w:r>
      <w:r>
        <w:tab/>
      </w:r>
      <w:r>
        <w:fldChar w:fldCharType="begin"/>
      </w:r>
      <w:r>
        <w:instrText xml:space="preserve"> PAGEREF _Toc15328 \h </w:instrText>
      </w:r>
      <w:r>
        <w:fldChar w:fldCharType="separate"/>
      </w:r>
      <w:r>
        <w:t>22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_Toc407 </w:instrText>
      </w:r>
      <w:r>
        <w:rPr>
          <w:rFonts w:hint="eastAsia" w:ascii="方正仿宋_GBK" w:hAnsi="方正仿宋_GBK" w:eastAsia="方正仿宋_GBK" w:cs="方正仿宋_GBK"/>
          <w:szCs w:val="28"/>
        </w:rPr>
        <w:fldChar w:fldCharType="separate"/>
      </w:r>
      <w:r>
        <w:rPr>
          <w:rFonts w:hint="eastAsia" w:ascii="楷体" w:hAnsi="楷体" w:eastAsia="楷体" w:cs="楷体"/>
        </w:rPr>
        <w:t>五、企业资质</w:t>
      </w:r>
      <w:r>
        <w:tab/>
      </w:r>
      <w:r>
        <w:fldChar w:fldCharType="begin"/>
      </w:r>
      <w:r>
        <w:instrText xml:space="preserve"> PAGEREF _Toc407 \h </w:instrText>
      </w:r>
      <w:r>
        <w:fldChar w:fldCharType="separate"/>
      </w:r>
      <w:r>
        <w:t>23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_Toc32418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六、合同条款及格式</w:t>
      </w:r>
      <w:r>
        <w:tab/>
      </w:r>
      <w:r>
        <w:fldChar w:fldCharType="begin"/>
      </w:r>
      <w:r>
        <w:instrText xml:space="preserve"> PAGEREF _Toc32418 \h </w:instrText>
      </w:r>
      <w:r>
        <w:fldChar w:fldCharType="separate"/>
      </w:r>
      <w:r>
        <w:t>24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_Toc30495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七、</w:t>
      </w:r>
      <w:r>
        <w:rPr>
          <w:rFonts w:hint="eastAsia" w:ascii="楷体" w:hAnsi="楷体" w:eastAsia="楷体" w:cs="楷体"/>
          <w:bCs/>
        </w:rPr>
        <w:t>相关附表格式</w:t>
      </w:r>
      <w:r>
        <w:tab/>
      </w:r>
      <w:r>
        <w:fldChar w:fldCharType="begin"/>
      </w:r>
      <w:r>
        <w:instrText xml:space="preserve"> PAGEREF _Toc30495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_Toc28734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件1：法人授权委托书</w:t>
      </w:r>
      <w:r>
        <w:tab/>
      </w:r>
      <w:r>
        <w:fldChar w:fldCharType="begin"/>
      </w:r>
      <w:r>
        <w:instrText xml:space="preserve"> PAGEREF _Toc28734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_Toc2252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r>
        <w:tab/>
      </w:r>
      <w:r>
        <w:fldChar w:fldCharType="begin"/>
      </w:r>
      <w:r>
        <w:instrText xml:space="preserve"> PAGEREF _Toc2252 \h </w:instrText>
      </w:r>
      <w:r>
        <w:fldChar w:fldCharType="separate"/>
      </w:r>
      <w:r>
        <w:t>27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_Toc28753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3</w:t>
      </w:r>
      <w:r>
        <w:rPr>
          <w:rFonts w:hint="eastAsia" w:ascii="楷体" w:hAnsi="楷体" w:eastAsia="楷体" w:cs="楷体"/>
        </w:rPr>
        <w:t>：三年内无重大违纪声明</w:t>
      </w:r>
      <w:r>
        <w:tab/>
      </w:r>
      <w:r>
        <w:fldChar w:fldCharType="begin"/>
      </w:r>
      <w:r>
        <w:instrText xml:space="preserve"> PAGEREF _Toc28753 \h </w:instrText>
      </w:r>
      <w:r>
        <w:fldChar w:fldCharType="separate"/>
      </w:r>
      <w:r>
        <w:t>28</w:t>
      </w:r>
      <w:r>
        <w:fldChar w:fldCharType="end"/>
      </w:r>
      <w:r>
        <w:rPr>
          <w:rFonts w:hint="eastAsia" w:ascii="方正仿宋_GBK" w:hAnsi="方正仿宋_GBK" w:eastAsia="方正仿宋_GBK" w:cs="方正仿宋_GBK"/>
          <w:szCs w:val="28"/>
        </w:rPr>
        <w:fldChar w:fldCharType="end"/>
      </w:r>
    </w:p>
    <w:p>
      <w:pPr>
        <w:pStyle w:val="19"/>
        <w:tabs>
          <w:tab w:val="right" w:leader="dot" w:pos="8306"/>
        </w:tabs>
        <w:rPr>
          <w:rFonts w:hint="eastAsia" w:ascii="方正仿宋_GBK" w:hAnsi="方正仿宋_GBK" w:eastAsia="方正仿宋_GBK" w:cs="方正仿宋_GBK"/>
          <w:szCs w:val="28"/>
        </w:rPr>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_Toc12129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r>
        <w:tab/>
      </w:r>
      <w:r>
        <w:fldChar w:fldCharType="begin"/>
      </w:r>
      <w:r>
        <w:instrText xml:space="preserve"> PAGEREF _Toc12129 \h </w:instrText>
      </w:r>
      <w:r>
        <w:fldChar w:fldCharType="separate"/>
      </w:r>
      <w:r>
        <w:t>29</w:t>
      </w:r>
      <w:r>
        <w:fldChar w:fldCharType="end"/>
      </w:r>
      <w:r>
        <w:rPr>
          <w:rFonts w:hint="eastAsia" w:ascii="方正仿宋_GBK" w:hAnsi="方正仿宋_GBK" w:eastAsia="方正仿宋_GBK" w:cs="方正仿宋_GBK"/>
          <w:szCs w:val="28"/>
        </w:rPr>
        <w:fldChar w:fldCharType="end"/>
      </w:r>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rPr>
      </w:pPr>
    </w:p>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sz w:val="40"/>
        </w:rPr>
      </w:pPr>
      <w:r>
        <w:rPr>
          <w:rFonts w:hint="eastAsia" w:ascii="方正仿宋_GBK" w:hAnsi="方正仿宋_GBK" w:eastAsia="方正仿宋_GBK" w:cs="方正仿宋_GBK"/>
          <w:szCs w:val="28"/>
        </w:rPr>
        <w:fldChar w:fldCharType="end"/>
      </w:r>
      <w:bookmarkStart w:id="6" w:name="_Toc10896"/>
      <w:bookmarkStart w:id="7" w:name="_Toc324237145"/>
      <w:bookmarkStart w:id="8" w:name="_Toc31882"/>
      <w:bookmarkStart w:id="9" w:name="_Toc25979"/>
      <w:r>
        <w:rPr>
          <w:rFonts w:hint="eastAsia" w:ascii="楷体" w:hAnsi="楷体" w:eastAsia="楷体" w:cs="楷体"/>
          <w:sz w:val="40"/>
        </w:rPr>
        <w:t xml:space="preserve">第一章  </w:t>
      </w:r>
      <w:bookmarkEnd w:id="0"/>
      <w:bookmarkEnd w:id="6"/>
      <w:bookmarkEnd w:id="7"/>
      <w:bookmarkEnd w:id="8"/>
      <w:r>
        <w:rPr>
          <w:rFonts w:hint="eastAsia" w:ascii="楷体" w:hAnsi="楷体" w:eastAsia="楷体" w:cs="楷体"/>
          <w:sz w:val="40"/>
        </w:rPr>
        <w:t>采购邀请</w:t>
      </w:r>
      <w:bookmarkEnd w:id="9"/>
    </w:p>
    <w:p>
      <w:pPr>
        <w:snapToGrid w:val="0"/>
        <w:spacing w:after="159" w:afterLines="50" w:line="360" w:lineRule="auto"/>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南京交通职业技术学院物资采购管件的供应理办公室受</w:t>
      </w:r>
      <w:r>
        <w:rPr>
          <w:rFonts w:hint="eastAsia" w:ascii="楷体" w:hAnsi="楷体" w:eastAsia="楷体" w:cs="楷体"/>
          <w:b/>
          <w:bCs/>
          <w:sz w:val="24"/>
          <w:szCs w:val="24"/>
        </w:rPr>
        <w:t>后勤管理处（基建办）</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食堂燃气炉灶集中更换工程项目</w:t>
      </w:r>
      <w:r>
        <w:rPr>
          <w:rFonts w:hint="eastAsia" w:ascii="楷体" w:hAnsi="楷体" w:eastAsia="楷体" w:cs="楷体"/>
          <w:b/>
          <w:bCs/>
          <w:sz w:val="24"/>
          <w:szCs w:val="24"/>
        </w:rPr>
        <w:t>实施竞争性磋商</w:t>
      </w:r>
      <w:r>
        <w:rPr>
          <w:rFonts w:hint="eastAsia" w:ascii="楷体" w:hAnsi="楷体" w:eastAsia="楷体" w:cs="楷体"/>
          <w:sz w:val="24"/>
          <w:szCs w:val="24"/>
        </w:rPr>
        <w:t>采购，欢迎符合条商参加磋商。</w:t>
      </w:r>
    </w:p>
    <w:p>
      <w:pPr>
        <w:pStyle w:val="40"/>
        <w:numPr>
          <w:ilvl w:val="0"/>
          <w:numId w:val="0"/>
        </w:numPr>
        <w:outlineLvl w:val="9"/>
        <w:rPr>
          <w:rFonts w:hint="eastAsia" w:ascii="楷体" w:hAnsi="楷体" w:eastAsia="楷体" w:cs="楷体"/>
          <w:snapToGrid w:val="0"/>
          <w:kern w:val="0"/>
        </w:rPr>
      </w:pPr>
      <w:bookmarkStart w:id="10" w:name="_Toc484"/>
      <w:r>
        <w:rPr>
          <w:rFonts w:hint="eastAsia" w:ascii="楷体" w:hAnsi="楷体" w:eastAsia="楷体" w:cs="楷体"/>
          <w:snapToGrid w:val="0"/>
          <w:kern w:val="0"/>
        </w:rPr>
        <w:t>一、采购项目简要说明</w:t>
      </w:r>
      <w:bookmarkEnd w:id="10"/>
    </w:p>
    <w:tbl>
      <w:tblPr>
        <w:tblStyle w:val="24"/>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食堂燃气炉灶集中更换工程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w:t>
            </w:r>
            <w:r>
              <w:rPr>
                <w:rFonts w:hint="eastAsia" w:ascii="楷体" w:hAnsi="楷体" w:eastAsia="楷体" w:cs="楷体"/>
                <w:b/>
                <w:bCs/>
                <w:sz w:val="24"/>
                <w:szCs w:val="24"/>
                <w:lang w:val="en-US" w:eastAsia="zh-CN"/>
              </w:rPr>
              <w:t>21089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hint="default" w:ascii="楷体" w:hAnsi="楷体" w:eastAsia="楷体" w:cs="楷体"/>
                <w:sz w:val="24"/>
                <w:szCs w:val="24"/>
                <w:lang w:val="en-US" w:eastAsia="zh-CN"/>
              </w:rPr>
            </w:pPr>
            <w:r>
              <w:rPr>
                <w:rFonts w:hint="eastAsia" w:ascii="楷体" w:hAnsi="楷体" w:eastAsia="楷体" w:cs="楷体"/>
                <w:sz w:val="24"/>
                <w:szCs w:val="24"/>
              </w:rPr>
              <w:t>联系人：</w:t>
            </w:r>
            <w:r>
              <w:rPr>
                <w:rFonts w:hint="eastAsia" w:ascii="楷体" w:hAnsi="楷体" w:eastAsia="楷体" w:cs="楷体"/>
                <w:sz w:val="24"/>
                <w:szCs w:val="24"/>
                <w:lang w:eastAsia="zh-CN"/>
              </w:rPr>
              <w:t>王</w:t>
            </w:r>
            <w:r>
              <w:rPr>
                <w:rFonts w:hint="eastAsia" w:ascii="楷体" w:hAnsi="楷体" w:eastAsia="楷体" w:cs="楷体"/>
                <w:sz w:val="24"/>
                <w:szCs w:val="24"/>
              </w:rPr>
              <w:t>老师   电话：025-86115</w:t>
            </w:r>
            <w:r>
              <w:rPr>
                <w:rFonts w:hint="eastAsia" w:ascii="楷体" w:hAnsi="楷体" w:eastAsia="楷体" w:cs="楷体"/>
                <w:sz w:val="24"/>
                <w:szCs w:val="24"/>
                <w:lang w:val="en-US" w:eastAsia="zh-CN"/>
              </w:rPr>
              <w:t>868</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shd w:val="clear" w:color="auto" w:fill="FFFFFF"/>
              <w:tabs>
                <w:tab w:val="left" w:pos="312"/>
              </w:tabs>
              <w:snapToGrid w:val="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1、项目概况：</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食堂厨具设备维修更换</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2、预算15.74万元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lang w:eastAsia="zh-CN"/>
              </w:rPr>
              <w:t>投标</w:t>
            </w:r>
            <w:r>
              <w:rPr>
                <w:rFonts w:hint="eastAsia" w:ascii="楷体" w:hAnsi="楷体" w:eastAsia="楷体" w:cs="楷体"/>
                <w:sz w:val="24"/>
                <w:szCs w:val="24"/>
              </w:rPr>
              <w:t>保证金</w:t>
            </w:r>
          </w:p>
        </w:tc>
        <w:tc>
          <w:tcPr>
            <w:tcW w:w="6157" w:type="dxa"/>
            <w:noWrap w:val="0"/>
            <w:vAlign w:val="center"/>
          </w:tcPr>
          <w:p>
            <w:pPr>
              <w:shd w:val="clear" w:color="auto" w:fill="FFFFFF"/>
              <w:tabs>
                <w:tab w:val="left" w:pos="312"/>
              </w:tabs>
              <w:snapToGrid w:val="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保证金金额：人民币伍仟元整</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保证金形式：现金形式（信封密封盖章，现场收取）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7</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30</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下午2:00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正本份数：1份</w:t>
            </w:r>
          </w:p>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凡有意参加的响应商，请于202</w:t>
            </w:r>
            <w:r>
              <w:rPr>
                <w:rFonts w:hint="eastAsia" w:ascii="楷体" w:hAnsi="楷体" w:eastAsia="楷体" w:cs="楷体"/>
                <w:sz w:val="24"/>
                <w:szCs w:val="24"/>
                <w:lang w:val="en-US" w:eastAsia="zh-CN"/>
              </w:rPr>
              <w:t>1</w:t>
            </w:r>
            <w:r>
              <w:rPr>
                <w:rFonts w:hint="eastAsia" w:ascii="楷体" w:hAnsi="楷体" w:eastAsia="楷体" w:cs="楷体"/>
                <w:sz w:val="24"/>
                <w:szCs w:val="24"/>
              </w:rPr>
              <w:t>年</w:t>
            </w:r>
            <w:r>
              <w:rPr>
                <w:rFonts w:hint="eastAsia" w:ascii="楷体" w:hAnsi="楷体" w:eastAsia="楷体" w:cs="楷体"/>
                <w:sz w:val="24"/>
                <w:szCs w:val="24"/>
                <w:lang w:val="en-US" w:eastAsia="zh-CN"/>
              </w:rPr>
              <w:t>7</w:t>
            </w:r>
            <w:r>
              <w:rPr>
                <w:rFonts w:hint="eastAsia" w:ascii="楷体" w:hAnsi="楷体" w:eastAsia="楷体" w:cs="楷体"/>
                <w:sz w:val="24"/>
                <w:szCs w:val="24"/>
              </w:rPr>
              <w:t>月</w:t>
            </w:r>
            <w:r>
              <w:rPr>
                <w:rFonts w:hint="eastAsia" w:ascii="楷体" w:hAnsi="楷体" w:eastAsia="楷体" w:cs="楷体"/>
                <w:sz w:val="24"/>
                <w:szCs w:val="24"/>
                <w:lang w:val="en-US" w:eastAsia="zh-CN"/>
              </w:rPr>
              <w:t>29日上午9点</w:t>
            </w:r>
            <w:r>
              <w:rPr>
                <w:rFonts w:hint="eastAsia" w:ascii="楷体" w:hAnsi="楷体" w:eastAsia="楷体" w:cs="楷体"/>
                <w:sz w:val="24"/>
                <w:szCs w:val="24"/>
              </w:rPr>
              <w:t>前将确认</w:t>
            </w:r>
            <w:r>
              <w:rPr>
                <w:rFonts w:hint="eastAsia" w:ascii="楷体" w:hAnsi="楷体" w:eastAsia="楷体" w:cs="楷体"/>
                <w:sz w:val="24"/>
                <w:szCs w:val="24"/>
                <w:lang w:eastAsia="zh-CN"/>
              </w:rPr>
              <w:t>函</w:t>
            </w:r>
            <w:r>
              <w:rPr>
                <w:rFonts w:hint="eastAsia" w:ascii="楷体" w:hAnsi="楷体" w:eastAsia="楷体" w:cs="楷体"/>
                <w:sz w:val="24"/>
                <w:szCs w:val="24"/>
              </w:rPr>
              <w:t>发送至邮箱cgb@njitt.edu.cn，采购办</w:t>
            </w:r>
            <w:r>
              <w:rPr>
                <w:rFonts w:hint="eastAsia" w:ascii="楷体" w:hAnsi="楷体" w:eastAsia="楷体" w:cs="楷体"/>
                <w:sz w:val="24"/>
                <w:szCs w:val="24"/>
                <w:lang w:eastAsia="zh-CN"/>
              </w:rPr>
              <w:t>不</w:t>
            </w:r>
            <w:r>
              <w:rPr>
                <w:rFonts w:hint="eastAsia" w:ascii="楷体" w:hAnsi="楷体" w:eastAsia="楷体" w:cs="楷体"/>
                <w:sz w:val="24"/>
                <w:szCs w:val="24"/>
              </w:rPr>
              <w:t>接受没有报名认</w:t>
            </w:r>
          </w:p>
          <w:p>
            <w:pPr>
              <w:rPr>
                <w:rFonts w:hint="eastAsia"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40"/>
        <w:numPr>
          <w:ilvl w:val="0"/>
          <w:numId w:val="0"/>
        </w:numPr>
        <w:outlineLvl w:val="9"/>
        <w:rPr>
          <w:rFonts w:hint="eastAsia" w:ascii="楷体" w:hAnsi="楷体" w:eastAsia="楷体" w:cs="楷体"/>
          <w:snapToGrid w:val="0"/>
          <w:kern w:val="0"/>
        </w:rPr>
      </w:pPr>
    </w:p>
    <w:p>
      <w:pPr>
        <w:pStyle w:val="40"/>
        <w:numPr>
          <w:ilvl w:val="0"/>
          <w:numId w:val="0"/>
        </w:numPr>
        <w:outlineLvl w:val="9"/>
        <w:rPr>
          <w:rFonts w:hint="eastAsia" w:ascii="楷体" w:hAnsi="楷体" w:eastAsia="楷体" w:cs="楷体"/>
          <w:snapToGrid w:val="0"/>
          <w:kern w:val="0"/>
        </w:rPr>
      </w:pPr>
      <w:bookmarkStart w:id="11" w:name="_Toc22993"/>
      <w:r>
        <w:rPr>
          <w:rFonts w:hint="eastAsia" w:ascii="楷体" w:hAnsi="楷体" w:eastAsia="楷体" w:cs="楷体"/>
          <w:snapToGrid w:val="0"/>
          <w:kern w:val="0"/>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w:t>
      </w:r>
      <w:r>
        <w:rPr>
          <w:rFonts w:hint="eastAsia" w:ascii="楷体" w:hAnsi="楷体" w:eastAsia="楷体" w:cs="楷体"/>
          <w:sz w:val="24"/>
          <w:szCs w:val="24"/>
          <w:lang w:val="en-US" w:eastAsia="zh-CN"/>
        </w:rPr>
        <w:t>20</w:t>
      </w:r>
      <w:r>
        <w:rPr>
          <w:rFonts w:hint="eastAsia" w:ascii="楷体" w:hAnsi="楷体" w:eastAsia="楷体" w:cs="楷体"/>
          <w:sz w:val="24"/>
          <w:szCs w:val="24"/>
        </w:rPr>
        <w:t>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pacing w:line="360" w:lineRule="auto"/>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pacing w:line="360" w:lineRule="auto"/>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16747"/>
      <w:bookmarkStart w:id="14" w:name="_Toc324237146"/>
      <w:bookmarkStart w:id="15" w:name="_Toc120614211"/>
    </w:p>
    <w:p>
      <w:pPr>
        <w:spacing w:line="360" w:lineRule="auto"/>
        <w:rPr>
          <w:rFonts w:hint="eastAsia" w:ascii="楷体" w:hAnsi="楷体" w:eastAsia="楷体" w:cs="楷体"/>
          <w:sz w:val="24"/>
          <w:szCs w:val="24"/>
        </w:rPr>
      </w:pPr>
      <w:r>
        <w:rPr>
          <w:rFonts w:hint="eastAsia" w:ascii="楷体" w:hAnsi="楷体" w:eastAsia="楷体" w:cs="楷体"/>
          <w:sz w:val="24"/>
          <w:szCs w:val="24"/>
          <w:lang w:val="en-US" w:eastAsia="zh-CN"/>
        </w:rPr>
        <w:t>响应商须是燃气、灶具厂商，具有有效的营业执照及相关行政部门颁发的燃气燃烧器具安装维修企业资质证书，本项目不接受联合体投标，不允许转包与分包。</w:t>
      </w:r>
      <w:r>
        <w:rPr>
          <w:rFonts w:hint="eastAsia" w:ascii="楷体" w:hAnsi="楷体" w:eastAsia="楷体" w:cs="楷体"/>
          <w:sz w:val="24"/>
          <w:szCs w:val="24"/>
        </w:rPr>
        <w:t>具体</w:t>
      </w:r>
      <w:r>
        <w:rPr>
          <w:rFonts w:hint="eastAsia" w:ascii="楷体" w:hAnsi="楷体" w:eastAsia="楷体" w:cs="楷体"/>
          <w:sz w:val="24"/>
          <w:szCs w:val="24"/>
          <w:lang w:eastAsia="zh-CN"/>
        </w:rPr>
        <w:t>工作内容</w:t>
      </w:r>
      <w:r>
        <w:rPr>
          <w:rFonts w:hint="eastAsia" w:ascii="楷体" w:hAnsi="楷体" w:eastAsia="楷体" w:cs="楷体"/>
          <w:sz w:val="24"/>
          <w:szCs w:val="24"/>
        </w:rPr>
        <w:t>详见招标工程量清单及合同条款，且不得拒绝执行为完成全部工程而须执行的可能遗漏的工作。采购人保留调整发包范围的权利，响应商不得提出异议。</w:t>
      </w:r>
    </w:p>
    <w:p>
      <w:pPr>
        <w:spacing w:line="360" w:lineRule="auto"/>
        <w:rPr>
          <w:rFonts w:hint="eastAsia" w:ascii="楷体" w:hAnsi="楷体" w:eastAsia="楷体" w:cs="楷体"/>
          <w:sz w:val="24"/>
          <w:szCs w:val="24"/>
        </w:rPr>
      </w:pPr>
      <w:r>
        <w:rPr>
          <w:rFonts w:hint="eastAsia" w:ascii="楷体" w:hAnsi="楷体" w:eastAsia="楷体" w:cs="楷体"/>
          <w:sz w:val="24"/>
          <w:szCs w:val="24"/>
        </w:rPr>
        <w:t>（三）本项目不接受联合体参与投标。</w:t>
      </w:r>
    </w:p>
    <w:p>
      <w:pPr>
        <w:spacing w:line="360" w:lineRule="auto"/>
        <w:rPr>
          <w:rFonts w:hint="eastAsia" w:ascii="楷体" w:hAnsi="楷体" w:eastAsia="楷体" w:cs="楷体"/>
          <w:sz w:val="24"/>
          <w:szCs w:val="24"/>
        </w:rPr>
      </w:pPr>
      <w:r>
        <w:rPr>
          <w:rFonts w:hint="eastAsia" w:ascii="楷体" w:hAnsi="楷体" w:eastAsia="楷体" w:cs="楷体"/>
          <w:sz w:val="24"/>
          <w:szCs w:val="24"/>
        </w:rPr>
        <w:t>（四）拒绝下述供应商参加本次采购活动：</w:t>
      </w:r>
    </w:p>
    <w:p>
      <w:pPr>
        <w:spacing w:line="360" w:lineRule="auto"/>
        <w:rPr>
          <w:rFonts w:hint="eastAsia" w:ascii="楷体" w:hAnsi="楷体" w:eastAsia="楷体" w:cs="楷体"/>
          <w:sz w:val="24"/>
          <w:szCs w:val="24"/>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r>
        <w:rPr>
          <w:rFonts w:hint="eastAsia" w:ascii="楷体" w:hAnsi="楷体" w:eastAsia="楷体" w:cs="楷体"/>
          <w:sz w:val="24"/>
          <w:szCs w:val="24"/>
        </w:rPr>
        <w:br w:type="textWrapping"/>
      </w:r>
      <w:r>
        <w:rPr>
          <w:rFonts w:hint="eastAsia" w:ascii="楷体" w:hAnsi="楷体" w:eastAsia="楷体" w:cs="楷体"/>
          <w:sz w:val="24"/>
          <w:szCs w:val="24"/>
        </w:rPr>
        <w:t>2、投标供应商被“信用中国”网站（</w:t>
      </w:r>
      <w:r>
        <w:rPr>
          <w:rFonts w:hint="eastAsia" w:ascii="楷体" w:hAnsi="楷体" w:eastAsia="楷体" w:cs="楷体"/>
          <w:sz w:val="24"/>
          <w:szCs w:val="24"/>
        </w:rPr>
        <w:drawing>
          <wp:inline distT="0" distB="0" distL="114300" distR="114300">
            <wp:extent cx="190500" cy="142875"/>
            <wp:effectExtent l="0" t="0" r="0" b="0"/>
            <wp:docPr id="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6"/>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0"/>
            <wp:docPr id="2"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7"/>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40"/>
        <w:numPr>
          <w:ilvl w:val="0"/>
          <w:numId w:val="0"/>
        </w:numPr>
        <w:outlineLvl w:val="9"/>
        <w:rPr>
          <w:rFonts w:hint="eastAsia" w:ascii="楷体" w:hAnsi="楷体" w:eastAsia="楷体" w:cs="楷体"/>
          <w:snapToGrid w:val="0"/>
          <w:kern w:val="0"/>
        </w:rPr>
      </w:pPr>
      <w:bookmarkStart w:id="17" w:name="_Toc5888"/>
      <w:r>
        <w:rPr>
          <w:rFonts w:hint="eastAsia" w:ascii="楷体" w:hAnsi="楷体" w:eastAsia="楷体" w:cs="楷体"/>
          <w:snapToGrid w:val="0"/>
          <w:kern w:val="0"/>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7</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29日上午9点</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40"/>
        <w:numPr>
          <w:ilvl w:val="0"/>
          <w:numId w:val="0"/>
        </w:numPr>
        <w:outlineLvl w:val="9"/>
        <w:rPr>
          <w:rFonts w:hint="eastAsia" w:ascii="楷体" w:hAnsi="楷体" w:eastAsia="楷体" w:cs="楷体"/>
          <w:snapToGrid w:val="0"/>
          <w:kern w:val="0"/>
        </w:rPr>
      </w:pPr>
      <w:bookmarkStart w:id="18" w:name="_Toc27453"/>
      <w:r>
        <w:rPr>
          <w:rFonts w:hint="eastAsia" w:ascii="楷体" w:hAnsi="楷体" w:eastAsia="楷体" w:cs="楷体"/>
          <w:snapToGrid w:val="0"/>
          <w:kern w:val="0"/>
        </w:rPr>
        <w:t>四、响应文件</w:t>
      </w:r>
      <w:bookmarkEnd w:id="18"/>
      <w:r>
        <w:rPr>
          <w:rFonts w:hint="eastAsia" w:ascii="楷体" w:hAnsi="楷体" w:eastAsia="楷体" w:cs="楷体"/>
          <w:snapToGrid w:val="0"/>
          <w:kern w:val="0"/>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Fonts w:hint="default" w:ascii="楷体" w:hAnsi="楷体" w:eastAsia="楷体" w:cs="楷体"/>
          <w:bCs/>
          <w:sz w:val="24"/>
          <w:lang w:val="en-US"/>
        </w:rPr>
      </w:pPr>
      <w:r>
        <w:rPr>
          <w:rFonts w:hint="eastAsia" w:ascii="楷体" w:hAnsi="楷体" w:eastAsia="楷体" w:cs="楷体"/>
          <w:bCs/>
          <w:sz w:val="24"/>
        </w:rPr>
        <w:t>4、响应文件接收</w:t>
      </w:r>
      <w:r>
        <w:rPr>
          <w:rFonts w:hint="eastAsia" w:ascii="楷体" w:hAnsi="楷体" w:eastAsia="楷体" w:cs="楷体"/>
          <w:bCs/>
          <w:sz w:val="24"/>
          <w:lang w:eastAsia="zh-CN"/>
        </w:rPr>
        <w:t>截止</w:t>
      </w:r>
      <w:r>
        <w:rPr>
          <w:rFonts w:hint="eastAsia" w:ascii="楷体" w:hAnsi="楷体" w:eastAsia="楷体" w:cs="楷体"/>
          <w:bCs/>
          <w:sz w:val="24"/>
        </w:rPr>
        <w:t>及开启时间：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 7</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 xml:space="preserve"> 30</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下午14:30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40"/>
        <w:numPr>
          <w:ilvl w:val="0"/>
          <w:numId w:val="0"/>
        </w:numPr>
        <w:outlineLvl w:val="9"/>
        <w:rPr>
          <w:rFonts w:hint="eastAsia" w:ascii="楷体" w:hAnsi="楷体" w:eastAsia="楷体" w:cs="楷体"/>
          <w:snapToGrid w:val="0"/>
          <w:kern w:val="0"/>
        </w:rPr>
      </w:pPr>
      <w:bookmarkStart w:id="19" w:name="_Toc31510"/>
      <w:r>
        <w:rPr>
          <w:rFonts w:hint="eastAsia" w:ascii="楷体" w:hAnsi="楷体" w:eastAsia="楷体" w:cs="楷体"/>
          <w:snapToGrid w:val="0"/>
          <w:kern w:val="0"/>
        </w:rPr>
        <w:t>五、磋商保证金</w:t>
      </w:r>
      <w:bookmarkEnd w:id="19"/>
    </w:p>
    <w:p>
      <w:pPr>
        <w:snapToGrid w:val="0"/>
        <w:spacing w:line="360" w:lineRule="auto"/>
        <w:ind w:firstLine="482" w:firstLineChars="200"/>
        <w:rPr>
          <w:rFonts w:hint="eastAsia" w:ascii="楷体" w:hAnsi="楷体" w:eastAsia="楷体" w:cs="楷体"/>
          <w:bCs/>
          <w:sz w:val="24"/>
        </w:rPr>
      </w:pPr>
      <w:r>
        <w:rPr>
          <w:rFonts w:hint="eastAsia" w:ascii="楷体" w:hAnsi="楷体" w:eastAsia="楷体" w:cs="楷体"/>
          <w:b/>
          <w:bCs w:val="0"/>
          <w:sz w:val="24"/>
          <w:lang w:val="en-US" w:eastAsia="zh-CN"/>
        </w:rPr>
        <w:t>伍仟</w:t>
      </w:r>
      <w:r>
        <w:rPr>
          <w:rFonts w:hint="eastAsia" w:ascii="楷体" w:hAnsi="楷体" w:eastAsia="楷体" w:cs="楷体"/>
          <w:b/>
          <w:bCs w:val="0"/>
          <w:sz w:val="24"/>
        </w:rPr>
        <w:t>元</w:t>
      </w:r>
      <w:r>
        <w:rPr>
          <w:rFonts w:hint="eastAsia" w:ascii="楷体" w:hAnsi="楷体" w:eastAsia="楷体" w:cs="楷体"/>
          <w:bCs/>
          <w:sz w:val="24"/>
        </w:rPr>
        <w:t>圆整(现金信封密封好，现场收取)， 成交后转为履约保证金。</w:t>
      </w:r>
    </w:p>
    <w:p>
      <w:pPr>
        <w:pStyle w:val="40"/>
        <w:numPr>
          <w:ilvl w:val="0"/>
          <w:numId w:val="0"/>
        </w:numPr>
        <w:outlineLvl w:val="9"/>
        <w:rPr>
          <w:rFonts w:ascii="楷体" w:hAnsi="楷体" w:eastAsia="楷体" w:cs="楷体"/>
          <w:snapToGrid w:val="0"/>
          <w:kern w:val="0"/>
        </w:rPr>
      </w:pPr>
      <w:bookmarkStart w:id="20" w:name="_Toc22031"/>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bookmarkEnd w:id="20"/>
    </w:p>
    <w:p>
      <w:pPr>
        <w:snapToGrid w:val="0"/>
        <w:spacing w:line="360" w:lineRule="auto"/>
        <w:ind w:firstLine="480" w:firstLineChars="200"/>
        <w:rPr>
          <w:rFonts w:hint="eastAsia" w:ascii="楷体" w:hAnsi="楷体" w:eastAsia="楷体" w:cs="楷体"/>
          <w:bCs/>
          <w:sz w:val="24"/>
          <w:lang w:val="en-US" w:eastAsia="zh-CN"/>
        </w:rPr>
      </w:pPr>
      <w:r>
        <w:rPr>
          <w:rFonts w:hint="eastAsia" w:ascii="楷体" w:hAnsi="楷体" w:eastAsia="楷体" w:cs="楷体"/>
          <w:bCs/>
          <w:sz w:val="24"/>
        </w:rPr>
        <w:t>后勤处（基建办）</w:t>
      </w:r>
      <w:r>
        <w:rPr>
          <w:rFonts w:ascii="楷体" w:hAnsi="楷体" w:eastAsia="楷体" w:cs="楷体"/>
          <w:bCs/>
          <w:sz w:val="24"/>
        </w:rPr>
        <w:t>：</w:t>
      </w:r>
      <w:r>
        <w:rPr>
          <w:rFonts w:hint="eastAsia" w:ascii="楷体" w:hAnsi="楷体" w:eastAsia="楷体" w:cs="楷体"/>
          <w:bCs/>
          <w:sz w:val="24"/>
          <w:lang w:val="en-US" w:eastAsia="zh-CN"/>
        </w:rPr>
        <w:t>王</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w:t>
      </w:r>
      <w:r>
        <w:rPr>
          <w:rFonts w:hint="eastAsia" w:ascii="楷体" w:hAnsi="楷体" w:eastAsia="楷体" w:cs="楷体"/>
          <w:bCs/>
          <w:sz w:val="24"/>
          <w:lang w:val="en-US" w:eastAsia="zh-CN"/>
        </w:rPr>
        <w:t>115868</w:t>
      </w:r>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采购办：</w:t>
      </w:r>
      <w:r>
        <w:rPr>
          <w:rFonts w:hint="eastAsia" w:ascii="楷体" w:hAnsi="楷体" w:eastAsia="楷体" w:cs="楷体"/>
          <w:bCs/>
          <w:sz w:val="24"/>
          <w:lang w:eastAsia="zh-CN"/>
        </w:rPr>
        <w:t>刘</w:t>
      </w:r>
      <w:r>
        <w:rPr>
          <w:rFonts w:ascii="楷体" w:hAnsi="楷体" w:eastAsia="楷体" w:cs="楷体"/>
          <w:bCs/>
          <w:sz w:val="24"/>
        </w:rPr>
        <w:t>老师</w:t>
      </w:r>
      <w:r>
        <w:rPr>
          <w:rFonts w:hint="eastAsia" w:ascii="楷体" w:hAnsi="楷体" w:eastAsia="楷体" w:cs="楷体"/>
          <w:bCs/>
          <w:sz w:val="24"/>
        </w:rPr>
        <w:t xml:space="preserve">              </w:t>
      </w:r>
      <w:r>
        <w:rPr>
          <w:rFonts w:ascii="楷体" w:hAnsi="楷体" w:eastAsia="楷体" w:cs="楷体"/>
          <w:bCs/>
          <w:sz w:val="24"/>
        </w:rPr>
        <w:t>联系电话： 025-86115</w:t>
      </w:r>
      <w:bookmarkEnd w:id="1"/>
      <w:bookmarkEnd w:id="2"/>
      <w:bookmarkEnd w:id="3"/>
      <w:bookmarkEnd w:id="4"/>
      <w:bookmarkEnd w:id="5"/>
      <w:bookmarkEnd w:id="13"/>
      <w:bookmarkEnd w:id="14"/>
      <w:bookmarkEnd w:id="15"/>
      <w:bookmarkStart w:id="21" w:name="_Toc18049"/>
      <w:bookmarkStart w:id="22" w:name="_Toc3756"/>
      <w:bookmarkStart w:id="23" w:name="_Toc14577347"/>
      <w:bookmarkStart w:id="24" w:name="_Toc61149549"/>
      <w:bookmarkStart w:id="25" w:name="_Toc513029209"/>
      <w:bookmarkStart w:id="26" w:name="_Toc20823314"/>
      <w:bookmarkStart w:id="27" w:name="_Toc479757207"/>
      <w:bookmarkStart w:id="28" w:name="_Toc513029242"/>
      <w:bookmarkStart w:id="29" w:name="_Toc120614221"/>
      <w:bookmarkStart w:id="30" w:name="_Toc324237147"/>
      <w:bookmarkStart w:id="31" w:name="_Toc16938558"/>
      <w:r>
        <w:rPr>
          <w:rFonts w:hint="eastAsia" w:ascii="楷体" w:hAnsi="楷体" w:eastAsia="楷体" w:cs="楷体"/>
          <w:bCs/>
          <w:sz w:val="24"/>
          <w:lang w:val="en-US" w:eastAsia="zh-CN"/>
        </w:rPr>
        <w:t>873</w:t>
      </w:r>
    </w:p>
    <w:p>
      <w:pPr>
        <w:pStyle w:val="43"/>
        <w:spacing w:after="319"/>
        <w:rPr>
          <w:rFonts w:hint="eastAsia" w:ascii="楷体" w:hAnsi="楷体" w:eastAsia="楷体" w:cs="楷体"/>
          <w:sz w:val="40"/>
        </w:rPr>
      </w:pPr>
    </w:p>
    <w:p>
      <w:pPr>
        <w:pStyle w:val="43"/>
        <w:spacing w:after="319"/>
        <w:jc w:val="both"/>
        <w:rPr>
          <w:rFonts w:hint="eastAsia" w:ascii="楷体" w:hAnsi="楷体" w:eastAsia="楷体" w:cs="楷体"/>
          <w:sz w:val="40"/>
        </w:rPr>
      </w:pPr>
    </w:p>
    <w:p>
      <w:pPr>
        <w:pStyle w:val="43"/>
        <w:spacing w:after="319"/>
        <w:rPr>
          <w:rFonts w:hint="eastAsia" w:ascii="楷体" w:hAnsi="楷体" w:eastAsia="楷体" w:cs="楷体"/>
          <w:sz w:val="40"/>
        </w:rPr>
      </w:pPr>
      <w:bookmarkStart w:id="32" w:name="_Toc21764"/>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r>
        <w:rPr>
          <w:rFonts w:hint="eastAsia" w:ascii="楷体" w:hAnsi="楷体" w:eastAsia="楷体" w:cs="楷体"/>
          <w:sz w:val="40"/>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p>
      <w:pPr>
        <w:ind w:firstLine="480" w:firstLineChars="200"/>
        <w:jc w:val="center"/>
        <w:rPr>
          <w:rFonts w:ascii="楷体" w:hAnsi="楷体" w:eastAsia="楷体" w:cs="楷体"/>
          <w:sz w:val="24"/>
          <w:szCs w:val="24"/>
        </w:rPr>
      </w:pPr>
    </w:p>
    <w:bookmarkEnd w:id="23"/>
    <w:bookmarkEnd w:id="24"/>
    <w:bookmarkEnd w:id="25"/>
    <w:p>
      <w:pPr>
        <w:pStyle w:val="40"/>
        <w:numPr>
          <w:ilvl w:val="0"/>
          <w:numId w:val="0"/>
        </w:numPr>
        <w:outlineLvl w:val="9"/>
        <w:rPr>
          <w:rFonts w:hint="eastAsia" w:ascii="楷体" w:hAnsi="楷体" w:eastAsia="楷体" w:cs="楷体"/>
          <w:snapToGrid w:val="0"/>
          <w:kern w:val="0"/>
          <w:lang w:val="zh-CN"/>
        </w:rPr>
      </w:pPr>
      <w:bookmarkStart w:id="33" w:name="_Toc23092"/>
      <w:bookmarkStart w:id="34" w:name="_Toc513029237"/>
      <w:bookmarkStart w:id="35" w:name="_Toc20823309"/>
      <w:bookmarkStart w:id="36" w:name="_Toc16938553"/>
      <w:bookmarkStart w:id="37" w:name="_Toc16499"/>
      <w:bookmarkStart w:id="38" w:name="_Toc6739"/>
      <w:r>
        <w:rPr>
          <w:rFonts w:hint="eastAsia" w:ascii="楷体" w:hAnsi="楷体" w:eastAsia="楷体" w:cs="楷体"/>
          <w:snapToGrid w:val="0"/>
          <w:kern w:val="0"/>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40"/>
        <w:numPr>
          <w:ilvl w:val="0"/>
          <w:numId w:val="0"/>
        </w:numPr>
        <w:outlineLvl w:val="9"/>
        <w:rPr>
          <w:rFonts w:hint="eastAsia" w:ascii="楷体" w:hAnsi="楷体" w:eastAsia="楷体" w:cs="楷体"/>
          <w:snapToGrid w:val="0"/>
          <w:kern w:val="0"/>
          <w:lang w:val="zh-CN"/>
        </w:rPr>
      </w:pPr>
      <w:bookmarkStart w:id="41" w:name="_Toc28523"/>
      <w:r>
        <w:rPr>
          <w:rFonts w:hint="eastAsia" w:ascii="楷体" w:hAnsi="楷体" w:eastAsia="楷体" w:cs="楷体"/>
          <w:snapToGrid w:val="0"/>
          <w:kern w:val="0"/>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40"/>
        <w:numPr>
          <w:ilvl w:val="0"/>
          <w:numId w:val="0"/>
        </w:numPr>
        <w:outlineLvl w:val="9"/>
        <w:rPr>
          <w:rFonts w:hint="eastAsia" w:ascii="楷体" w:hAnsi="楷体" w:eastAsia="楷体" w:cs="楷体"/>
          <w:snapToGrid w:val="0"/>
          <w:kern w:val="0"/>
          <w:lang w:val="zh-CN"/>
        </w:rPr>
      </w:pPr>
      <w:bookmarkStart w:id="42" w:name="_Toc163"/>
      <w:bookmarkStart w:id="43" w:name="_Toc487210477"/>
      <w:r>
        <w:rPr>
          <w:rFonts w:hint="eastAsia" w:ascii="楷体" w:hAnsi="楷体" w:eastAsia="楷体" w:cs="楷体"/>
          <w:snapToGrid w:val="0"/>
          <w:kern w:val="0"/>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40"/>
        <w:numPr>
          <w:ilvl w:val="0"/>
          <w:numId w:val="0"/>
        </w:numPr>
        <w:outlineLvl w:val="9"/>
        <w:rPr>
          <w:rFonts w:hint="eastAsia" w:ascii="楷体" w:hAnsi="楷体" w:eastAsia="楷体" w:cs="楷体"/>
          <w:snapToGrid w:val="0"/>
          <w:kern w:val="0"/>
          <w:lang w:val="zh-CN"/>
        </w:rPr>
      </w:pPr>
      <w:bookmarkStart w:id="44" w:name="_Toc23763"/>
      <w:r>
        <w:rPr>
          <w:rFonts w:hint="eastAsia" w:ascii="楷体" w:hAnsi="楷体" w:eastAsia="楷体" w:cs="楷体"/>
          <w:snapToGrid w:val="0"/>
          <w:kern w:val="0"/>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40"/>
        <w:numPr>
          <w:ilvl w:val="0"/>
          <w:numId w:val="0"/>
        </w:numPr>
        <w:outlineLvl w:val="9"/>
        <w:rPr>
          <w:rFonts w:hint="eastAsia" w:ascii="楷体" w:hAnsi="楷体" w:eastAsia="楷体" w:cs="楷体"/>
          <w:snapToGrid w:val="0"/>
          <w:kern w:val="0"/>
          <w:lang w:val="zh-CN"/>
        </w:rPr>
      </w:pPr>
      <w:bookmarkStart w:id="50" w:name="_Toc487210483"/>
      <w:bookmarkStart w:id="51" w:name="_Toc20846"/>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43"/>
        <w:spacing w:after="319"/>
        <w:rPr>
          <w:rFonts w:ascii="楷体" w:hAnsi="楷体" w:eastAsia="楷体" w:cs="楷体"/>
          <w:sz w:val="40"/>
        </w:rPr>
      </w:pPr>
      <w:bookmarkStart w:id="52" w:name="_Toc324237148"/>
      <w:bookmarkStart w:id="53" w:name="_Toc32263"/>
      <w:bookmarkStart w:id="54" w:name="_Toc28167"/>
      <w:bookmarkStart w:id="55" w:name="_Toc120614281"/>
      <w:bookmarkStart w:id="56" w:name="_Toc49090575"/>
      <w:bookmarkStart w:id="57" w:name="_Toc26554093"/>
      <w:bookmarkStart w:id="58" w:name="_Toc479757211"/>
      <w:bookmarkStart w:id="59" w:name="_Toc462564139"/>
      <w:r>
        <w:rPr>
          <w:rFonts w:hint="eastAsia" w:ascii="楷体" w:hAnsi="楷体" w:eastAsia="楷体" w:cs="楷体"/>
          <w:sz w:val="40"/>
        </w:rPr>
        <w:t>第三章  项目需求</w:t>
      </w:r>
      <w:bookmarkEnd w:id="52"/>
      <w:bookmarkEnd w:id="53"/>
      <w:bookmarkEnd w:id="54"/>
      <w:bookmarkStart w:id="60" w:name="_Toc324237156"/>
      <w:bookmarkStart w:id="61" w:name="_Toc18960"/>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bookmarkStart w:id="62" w:name="_Toc403987220"/>
      <w:r>
        <w:rPr>
          <w:rFonts w:hint="eastAsia" w:hAnsi="宋体"/>
          <w:bCs/>
          <w:color w:val="auto"/>
          <w:highlight w:val="none"/>
        </w:rPr>
        <w:t>一、项</w:t>
      </w:r>
      <w:r>
        <w:rPr>
          <w:rFonts w:hint="eastAsia" w:hAnsi="宋体"/>
          <w:bCs/>
          <w:color w:val="auto"/>
          <w:szCs w:val="22"/>
          <w:highlight w:val="none"/>
        </w:rPr>
        <w:t>目名称：食堂厨具设备维修更换</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rPr>
        <w:t>二、项目控制价：人民币</w:t>
      </w:r>
      <w:r>
        <w:rPr>
          <w:rFonts w:hint="eastAsia" w:hAnsi="宋体"/>
          <w:bCs/>
          <w:color w:val="auto"/>
          <w:highlight w:val="none"/>
          <w:lang w:val="en-US" w:eastAsia="zh-CN"/>
        </w:rPr>
        <w:t>15.74</w:t>
      </w:r>
      <w:r>
        <w:rPr>
          <w:rFonts w:hint="eastAsia" w:hAnsi="宋体"/>
          <w:bCs/>
          <w:color w:val="auto"/>
          <w:highlight w:val="none"/>
        </w:rPr>
        <w:t>万</w:t>
      </w:r>
      <w:r>
        <w:rPr>
          <w:rFonts w:hint="eastAsia" w:hAnsi="宋体"/>
          <w:bCs/>
          <w:color w:val="auto"/>
          <w:highlight w:val="none"/>
          <w:lang w:eastAsia="zh-CN"/>
        </w:rPr>
        <w:t>元</w:t>
      </w:r>
      <w:r>
        <w:rPr>
          <w:rFonts w:hint="eastAsia" w:hAnsi="宋体"/>
          <w:bCs/>
          <w:color w:val="auto"/>
          <w:highlight w:val="none"/>
        </w:rPr>
        <w:t>。</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rPr>
        <w:t>三、项目内容：</w:t>
      </w:r>
      <w:r>
        <w:rPr>
          <w:rFonts w:hint="eastAsia" w:hAnsi="宋体"/>
          <w:bCs/>
          <w:color w:val="auto"/>
          <w:szCs w:val="22"/>
          <w:highlight w:val="none"/>
        </w:rPr>
        <w:t>食堂厨具设备维修更换</w:t>
      </w:r>
      <w:r>
        <w:rPr>
          <w:rFonts w:hint="eastAsia" w:hAnsi="宋体"/>
          <w:bCs/>
          <w:color w:val="auto"/>
          <w:highlight w:val="none"/>
        </w:rPr>
        <w:t>（清单见附件）。</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FF0000"/>
          <w:highlight w:val="none"/>
        </w:rPr>
      </w:pPr>
      <w:r>
        <w:rPr>
          <w:rFonts w:hint="eastAsia" w:hAnsi="宋体"/>
          <w:bCs/>
          <w:color w:val="auto"/>
          <w:highlight w:val="none"/>
        </w:rPr>
        <w:t>四、</w:t>
      </w:r>
      <w:r>
        <w:rPr>
          <w:rFonts w:hint="eastAsia" w:hAnsi="宋体"/>
          <w:bCs/>
          <w:highlight w:val="none"/>
        </w:rPr>
        <w:t>响应说明及要求</w:t>
      </w:r>
      <w:r>
        <w:rPr>
          <w:rFonts w:hint="eastAsia" w:hAnsi="宋体"/>
          <w:bCs/>
          <w:color w:val="FF0000"/>
          <w:highlight w:val="none"/>
        </w:rPr>
        <w:t>（第3、4条必须在响应文件中做出书面承诺）</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响应商在认真阅读询价文件后须撰写服务承诺书并提供以下证明及资料：</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1、法定代表人身份证明和法定代表人对业务代表的正式授权书（一个单位不得委托多人代理，一人不得代理多个单位，否则响应无效）；</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2、服务承诺书从工期保证措施（工期每延误1天罚款</w:t>
      </w:r>
      <w:r>
        <w:rPr>
          <w:rFonts w:hint="eastAsia" w:hAnsi="宋体"/>
          <w:bCs/>
          <w:highlight w:val="none"/>
          <w:lang w:val="en-US" w:eastAsia="zh-CN"/>
        </w:rPr>
        <w:t>2</w:t>
      </w:r>
      <w:r>
        <w:rPr>
          <w:rFonts w:hint="eastAsia" w:hAnsi="宋体"/>
          <w:bCs/>
          <w:highlight w:val="none"/>
        </w:rPr>
        <w:t>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3、成交人需承诺其承担的工程项目在合同期内全部验收合格。</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4、成交人需承诺不得将成交项目转包及其它违规行为，一经发现立即取消施工资格，并按相关法律法规上报处理。</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6、响应商根据项目情况，客观报价，如发现恶意报价行为，作废标处理。</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7、磋商保证金</w:t>
      </w:r>
      <w:r>
        <w:rPr>
          <w:rFonts w:hint="eastAsia" w:hAnsi="宋体"/>
          <w:bCs/>
          <w:highlight w:val="none"/>
          <w:lang w:val="en-US" w:eastAsia="zh-CN"/>
        </w:rPr>
        <w:t>5000</w:t>
      </w:r>
      <w:r>
        <w:rPr>
          <w:rFonts w:hint="eastAsia" w:hAnsi="宋体"/>
          <w:bCs/>
          <w:highlight w:val="none"/>
        </w:rPr>
        <w:t>元，成交后转为履约保证金。</w:t>
      </w:r>
    </w:p>
    <w:p>
      <w:pPr>
        <w:keepNext w:val="0"/>
        <w:keepLines w:val="0"/>
        <w:pageBreakBefore w:val="0"/>
        <w:kinsoku/>
        <w:wordWrap/>
        <w:overflowPunct/>
        <w:topLinePunct w:val="0"/>
        <w:autoSpaceDE/>
        <w:autoSpaceDN/>
        <w:bidi w:val="0"/>
        <w:adjustRightInd/>
        <w:snapToGrid/>
        <w:spacing w:line="580" w:lineRule="exact"/>
        <w:ind w:firstLine="420" w:firstLineChars="200"/>
        <w:textAlignment w:val="auto"/>
        <w:rPr>
          <w:rFonts w:hint="default" w:ascii="宋体" w:hAnsi="宋体" w:eastAsia="宋体"/>
          <w:color w:val="auto"/>
          <w:szCs w:val="21"/>
          <w:highlight w:val="none"/>
          <w:lang w:val="en-US" w:eastAsia="zh-CN"/>
        </w:rPr>
      </w:pPr>
      <w:r>
        <w:rPr>
          <w:rFonts w:hint="eastAsia" w:ascii="宋体" w:hAnsi="宋体"/>
          <w:color w:val="000000"/>
          <w:szCs w:val="21"/>
          <w:highlight w:val="none"/>
        </w:rPr>
        <w:t>8、</w:t>
      </w:r>
      <w:r>
        <w:rPr>
          <w:rFonts w:hint="eastAsia" w:ascii="宋体" w:hAnsi="宋体"/>
          <w:color w:val="auto"/>
          <w:szCs w:val="21"/>
          <w:highlight w:val="none"/>
          <w:lang w:val="en-US" w:eastAsia="zh-CN"/>
        </w:rPr>
        <w:t>项目咨询服务费已包含在控制价中</w:t>
      </w:r>
      <w:r>
        <w:rPr>
          <w:rFonts w:hint="eastAsia" w:ascii="宋体" w:hAnsi="宋体"/>
          <w:color w:val="auto"/>
          <w:szCs w:val="21"/>
          <w:highlight w:val="none"/>
          <w:lang w:eastAsia="zh-CN"/>
        </w:rPr>
        <w:t>，</w:t>
      </w:r>
      <w:r>
        <w:rPr>
          <w:rFonts w:hint="eastAsia" w:ascii="宋体" w:hAnsi="宋体"/>
          <w:color w:val="auto"/>
          <w:szCs w:val="21"/>
          <w:highlight w:val="none"/>
        </w:rPr>
        <w:t>由中标单位支付给九鼎工程管理咨询有限公司</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领取中标通知书时支付</w:t>
      </w:r>
      <w:r>
        <w:rPr>
          <w:rFonts w:hint="eastAsia" w:ascii="宋体" w:hAnsi="宋体"/>
          <w:color w:val="auto"/>
          <w:szCs w:val="21"/>
          <w:highlight w:val="none"/>
        </w:rPr>
        <w:t>施工方案优化</w:t>
      </w:r>
      <w:r>
        <w:rPr>
          <w:rFonts w:hint="eastAsia" w:ascii="宋体" w:hAnsi="宋体"/>
          <w:color w:val="auto"/>
          <w:szCs w:val="21"/>
          <w:highlight w:val="none"/>
          <w:lang w:eastAsia="zh-CN"/>
        </w:rPr>
        <w:t>、工程量清单及控制价编制</w:t>
      </w:r>
      <w:r>
        <w:rPr>
          <w:rFonts w:hint="eastAsia" w:ascii="宋体" w:hAnsi="宋体"/>
          <w:color w:val="auto"/>
          <w:szCs w:val="21"/>
          <w:highlight w:val="none"/>
          <w:lang w:val="en-US" w:eastAsia="zh-CN"/>
        </w:rPr>
        <w:t>费用</w:t>
      </w:r>
      <w:r>
        <w:rPr>
          <w:rFonts w:hint="eastAsia" w:ascii="宋体" w:hAnsi="宋体"/>
          <w:color w:val="auto"/>
          <w:szCs w:val="21"/>
          <w:highlight w:val="none"/>
        </w:rPr>
        <w:t>，报价时</w:t>
      </w:r>
      <w:r>
        <w:rPr>
          <w:rFonts w:hint="eastAsia" w:ascii="宋体" w:hAnsi="宋体"/>
          <w:color w:val="auto"/>
          <w:szCs w:val="21"/>
          <w:highlight w:val="none"/>
          <w:lang w:val="en-US" w:eastAsia="zh-CN"/>
        </w:rPr>
        <w:t>咨询费不得让利。</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rPr>
        <w:t>9、单项工程提供详细施工技术方案及清单报价表，并附光盘。</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五</w:t>
      </w:r>
      <w:r>
        <w:rPr>
          <w:rFonts w:hint="eastAsia" w:hAnsi="宋体"/>
          <w:bCs/>
          <w:color w:val="auto"/>
          <w:highlight w:val="none"/>
        </w:rPr>
        <w:t>、材质及质量要求</w:t>
      </w:r>
    </w:p>
    <w:bookmarkEnd w:id="62"/>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color w:val="auto"/>
          <w:szCs w:val="22"/>
          <w:highlight w:val="none"/>
        </w:rPr>
      </w:pPr>
      <w:r>
        <w:rPr>
          <w:rFonts w:hint="eastAsia" w:hAnsi="宋体"/>
          <w:bCs/>
          <w:color w:val="auto"/>
          <w:szCs w:val="22"/>
          <w:highlight w:val="none"/>
        </w:rPr>
        <w:t>主材必须严格选用优质、环保、无腐蚀性产品，材料进场提供产品合格证并办理材料报验手续；施工规范符合现行国家规范；工程质量要求为：合格。</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color w:val="auto"/>
          <w:szCs w:val="22"/>
          <w:highlight w:val="none"/>
        </w:rPr>
      </w:pPr>
      <w:r>
        <w:rPr>
          <w:rFonts w:hint="eastAsia" w:hAnsi="宋体"/>
          <w:bCs/>
          <w:color w:val="auto"/>
          <w:szCs w:val="22"/>
          <w:highlight w:val="none"/>
        </w:rPr>
        <w:t>主要材料品牌及样品提供要求：</w:t>
      </w:r>
    </w:p>
    <w:tbl>
      <w:tblPr>
        <w:tblStyle w:val="24"/>
        <w:tblW w:w="8363"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108" w:type="dxa"/>
          <w:bottom w:w="0" w:type="dxa"/>
          <w:right w:w="108" w:type="dxa"/>
        </w:tblCellMar>
      </w:tblPr>
      <w:tblGrid>
        <w:gridCol w:w="1727"/>
        <w:gridCol w:w="2291"/>
        <w:gridCol w:w="1572"/>
        <w:gridCol w:w="277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52" w:hRule="atLeast"/>
          <w:jc w:val="center"/>
        </w:trPr>
        <w:tc>
          <w:tcPr>
            <w:tcW w:w="1727"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291"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1572"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采购数量</w:t>
            </w:r>
          </w:p>
        </w:tc>
        <w:tc>
          <w:tcPr>
            <w:tcW w:w="2773"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参考品牌</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84" w:hRule="atLeast"/>
          <w:jc w:val="center"/>
        </w:trPr>
        <w:tc>
          <w:tcPr>
            <w:tcW w:w="1727"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单头大锅灶</w:t>
            </w:r>
          </w:p>
        </w:tc>
        <w:tc>
          <w:tcPr>
            <w:tcW w:w="2291"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1100*1250*1250</w:t>
            </w:r>
          </w:p>
        </w:tc>
        <w:tc>
          <w:tcPr>
            <w:tcW w:w="1572" w:type="dxa"/>
            <w:tcBorders>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12</w:t>
            </w:r>
          </w:p>
        </w:tc>
        <w:tc>
          <w:tcPr>
            <w:tcW w:w="2773" w:type="dxa"/>
            <w:vMerge w:val="restart"/>
            <w:tcBorders>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西门子、方太、华帝等同档次或高于此档次产品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80" w:hRule="atLeast"/>
          <w:jc w:val="center"/>
        </w:trPr>
        <w:tc>
          <w:tcPr>
            <w:tcW w:w="1727"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单头炒灶</w:t>
            </w:r>
          </w:p>
        </w:tc>
        <w:tc>
          <w:tcPr>
            <w:tcW w:w="2291"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1100*1250*1250</w:t>
            </w:r>
          </w:p>
        </w:tc>
        <w:tc>
          <w:tcPr>
            <w:tcW w:w="1572" w:type="dxa"/>
            <w:tcBorders>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10</w:t>
            </w:r>
          </w:p>
        </w:tc>
        <w:tc>
          <w:tcPr>
            <w:tcW w:w="2773" w:type="dxa"/>
            <w:vMerge w:val="continue"/>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80" w:hRule="atLeast"/>
          <w:jc w:val="center"/>
        </w:trPr>
        <w:tc>
          <w:tcPr>
            <w:tcW w:w="1727"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p>
        </w:tc>
        <w:tc>
          <w:tcPr>
            <w:tcW w:w="2291" w:type="dxa"/>
            <w:tcBorders>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p>
        </w:tc>
        <w:tc>
          <w:tcPr>
            <w:tcW w:w="1572"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773"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p>
        </w:tc>
      </w:tr>
    </w:tbl>
    <w:p>
      <w:pPr>
        <w:keepNext w:val="0"/>
        <w:keepLines w:val="0"/>
        <w:pageBreakBefore w:val="0"/>
        <w:widowControl/>
        <w:numPr>
          <w:ilvl w:val="0"/>
          <w:numId w:val="0"/>
        </w:numPr>
        <w:kinsoku/>
        <w:wordWrap/>
        <w:overflowPunct/>
        <w:topLinePunct w:val="0"/>
        <w:bidi w:val="0"/>
        <w:snapToGrid/>
        <w:spacing w:line="500" w:lineRule="exact"/>
        <w:ind w:leftChars="0" w:firstLine="420" w:firstLineChars="200"/>
        <w:textAlignment w:val="auto"/>
        <w:rPr>
          <w:rFonts w:hint="eastAsia" w:ascii="宋体" w:hAnsi="宋体"/>
          <w:color w:val="auto"/>
          <w:szCs w:val="21"/>
          <w:highlight w:val="none"/>
          <w:lang w:eastAsia="zh-CN"/>
        </w:rPr>
      </w:pPr>
      <w:r>
        <w:rPr>
          <w:rFonts w:hint="eastAsia" w:ascii="宋体" w:hAnsi="宋体"/>
          <w:color w:val="000000"/>
          <w:szCs w:val="21"/>
          <w:highlight w:val="none"/>
        </w:rPr>
        <w:t>其他主材需要经</w:t>
      </w:r>
      <w:r>
        <w:rPr>
          <w:rFonts w:hint="eastAsia" w:ascii="宋体" w:hAnsi="宋体"/>
          <w:color w:val="auto"/>
          <w:szCs w:val="21"/>
          <w:highlight w:val="none"/>
        </w:rPr>
        <w:t>过</w:t>
      </w:r>
      <w:r>
        <w:rPr>
          <w:rFonts w:hint="eastAsia" w:ascii="宋体" w:hAnsi="宋体"/>
          <w:color w:val="auto"/>
          <w:szCs w:val="21"/>
          <w:highlight w:val="none"/>
          <w:lang w:eastAsia="zh-CN"/>
        </w:rPr>
        <w:t>校方</w:t>
      </w:r>
      <w:r>
        <w:rPr>
          <w:rFonts w:hint="eastAsia" w:ascii="宋体" w:hAnsi="宋体"/>
          <w:color w:val="auto"/>
          <w:szCs w:val="21"/>
          <w:highlight w:val="none"/>
        </w:rPr>
        <w:t>认可后方可使用。</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val="en-US" w:eastAsia="zh-CN"/>
        </w:rPr>
        <w:t>六</w:t>
      </w:r>
      <w:r>
        <w:rPr>
          <w:rFonts w:hint="eastAsia" w:hAnsi="宋体"/>
          <w:bCs/>
          <w:color w:val="auto"/>
          <w:highlight w:val="none"/>
        </w:rPr>
        <w:t>、工期要求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val="en-US" w:eastAsia="zh-CN"/>
        </w:rPr>
        <w:t>15</w:t>
      </w:r>
      <w:r>
        <w:rPr>
          <w:rFonts w:hint="eastAsia" w:hAnsi="宋体"/>
          <w:bCs/>
          <w:color w:val="auto"/>
          <w:highlight w:val="none"/>
        </w:rPr>
        <w:t>日历</w:t>
      </w:r>
      <w:r>
        <w:rPr>
          <w:rFonts w:hint="eastAsia" w:hAnsi="宋体"/>
          <w:bCs/>
          <w:color w:val="auto"/>
          <w:highlight w:val="none"/>
          <w:lang w:val="en-US" w:eastAsia="zh-CN"/>
        </w:rPr>
        <w:t>天</w:t>
      </w:r>
      <w:r>
        <w:rPr>
          <w:rFonts w:hint="eastAsia" w:hAnsi="宋体"/>
          <w:bCs/>
          <w:color w:val="auto"/>
          <w:highlight w:val="none"/>
        </w:rPr>
        <w:t>。开工日期以甲方通知为准。施工现场要保证不影响正常教学和办公。</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val="en-US" w:eastAsia="zh-CN"/>
        </w:rPr>
        <w:t>八</w:t>
      </w:r>
      <w:r>
        <w:rPr>
          <w:rFonts w:hint="eastAsia" w:hAnsi="宋体"/>
          <w:bCs/>
          <w:color w:val="auto"/>
          <w:highlight w:val="none"/>
        </w:rPr>
        <w:t>、施工管理要求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color w:val="auto"/>
          <w:highlight w:val="none"/>
        </w:rPr>
        <w:t>1、现场管理及安全责任：施工单位根据现行国家工程质量检验标准和现场实际情况，按国家有关规定派驻具有相应资质的项目经理，</w:t>
      </w:r>
      <w:r>
        <w:rPr>
          <w:rFonts w:hint="eastAsia" w:hAnsi="宋体"/>
          <w:bCs/>
          <w:highlight w:val="none"/>
        </w:rPr>
        <w:t>项目经理在施工期间须每日到场，加强施工管理，因质量和安全问题造成的一切责任和损失均由施工单位负责。</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2、主材检测：业主可随时对工程主要材料选择送检，检测费用包含在响应价内，如发现以次充好或不合格材料，除及时更换合格产品外，每发现一处扣罚款2000元。</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3、主要材料进场须经业主确认。</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4、图纸设计若有不符合现行规范、规定、标准等或其他不到位之处，施工单位必须提出，待业主确认后再施工，否则因此造成的质量事故由施工单位承担。</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5、隐蔽工程或部位必须报甲方同意后，方可进入下一步工序并自行留存相关资料，否则结算不予承认。</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6、施工管理中，未按规定要求（安全文明施工、质量标准等方面）进行施工、管理的，罚款300-500元/次。</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7、单项工程提供详细施工技术方案及未来清单报价表（含综合单价分析表等），并附光盘。</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val="en-US" w:eastAsia="zh-CN"/>
        </w:rPr>
        <w:t>七</w:t>
      </w:r>
      <w:r>
        <w:rPr>
          <w:rFonts w:hint="eastAsia" w:hAnsi="宋体"/>
          <w:bCs/>
          <w:highlight w:val="none"/>
        </w:rPr>
        <w:t>、响应报价</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highlight w:val="none"/>
        </w:rPr>
      </w:pPr>
      <w:r>
        <w:rPr>
          <w:rFonts w:hint="eastAsia" w:hAnsi="宋体"/>
          <w:bCs/>
          <w:highlight w:val="none"/>
        </w:rPr>
        <w:t>合同价格形式为单价合同，包含人工、材料、机械、运输费、安装、竣工资料、质保期内的保修服务费、保险、管理费、利润、</w:t>
      </w:r>
      <w:r>
        <w:rPr>
          <w:rFonts w:hint="eastAsia" w:hAnsi="宋体"/>
          <w:bCs/>
          <w:highlight w:val="none"/>
          <w:lang w:val="en-US" w:eastAsia="zh-CN"/>
        </w:rPr>
        <w:t>税金、</w:t>
      </w:r>
      <w:r>
        <w:rPr>
          <w:rFonts w:hint="eastAsia" w:hAnsi="宋体"/>
          <w:bCs/>
          <w:highlight w:val="none"/>
        </w:rPr>
        <w:t>政策性文件规定及合同包含的所有风险、责任等及其它一切应有费用，结算时综合单价按本次报价执行，工程量按实结算。（工程量清单报价表附后）。</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val="en-US" w:eastAsia="zh-CN"/>
        </w:rPr>
        <w:t>八</w:t>
      </w:r>
      <w:r>
        <w:rPr>
          <w:rFonts w:hint="eastAsia" w:hAnsi="宋体"/>
          <w:bCs/>
          <w:highlight w:val="none"/>
        </w:rPr>
        <w:t>、付款方式</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highlight w:val="none"/>
        </w:rPr>
      </w:pPr>
      <w:r>
        <w:rPr>
          <w:rFonts w:hint="eastAsia" w:hAnsi="宋体"/>
          <w:bCs/>
          <w:highlight w:val="none"/>
        </w:rPr>
        <w:t>竣工并通过验收</w:t>
      </w:r>
      <w:r>
        <w:rPr>
          <w:rFonts w:hint="eastAsia" w:hAnsi="宋体"/>
          <w:bCs/>
          <w:highlight w:val="none"/>
          <w:lang w:eastAsia="zh-CN"/>
        </w:rPr>
        <w:t>，</w:t>
      </w:r>
      <w:r>
        <w:rPr>
          <w:rFonts w:hint="eastAsia" w:hAnsi="宋体"/>
          <w:bCs/>
          <w:highlight w:val="none"/>
        </w:rPr>
        <w:t>付结算价（全额发票）的9</w:t>
      </w:r>
      <w:r>
        <w:rPr>
          <w:rFonts w:hint="eastAsia" w:hAnsi="宋体"/>
          <w:bCs/>
          <w:highlight w:val="none"/>
          <w:lang w:val="en-US" w:eastAsia="zh-CN"/>
        </w:rPr>
        <w:t>5</w:t>
      </w:r>
      <w:r>
        <w:rPr>
          <w:rFonts w:hint="eastAsia" w:hAnsi="宋体"/>
          <w:bCs/>
          <w:highlight w:val="none"/>
        </w:rPr>
        <w:t>%；</w:t>
      </w:r>
      <w:r>
        <w:rPr>
          <w:rFonts w:hint="eastAsia" w:hAnsi="宋体"/>
          <w:bCs/>
          <w:highlight w:val="none"/>
          <w:lang w:val="en-US" w:eastAsia="zh-CN"/>
        </w:rPr>
        <w:t>1</w:t>
      </w:r>
      <w:r>
        <w:rPr>
          <w:rFonts w:hint="eastAsia" w:hAnsi="宋体"/>
          <w:bCs/>
          <w:highlight w:val="none"/>
        </w:rPr>
        <w:t>年质保期满后无质量缺陷将</w:t>
      </w:r>
      <w:r>
        <w:rPr>
          <w:rFonts w:hint="eastAsia" w:hAnsi="宋体"/>
          <w:bCs/>
          <w:highlight w:val="none"/>
          <w:lang w:val="en-US" w:eastAsia="zh-CN"/>
        </w:rPr>
        <w:t>5</w:t>
      </w:r>
      <w:r>
        <w:rPr>
          <w:rFonts w:hint="eastAsia" w:hAnsi="宋体"/>
          <w:bCs/>
          <w:highlight w:val="none"/>
        </w:rPr>
        <w:t>%质保金一次性免息支付。</w:t>
      </w:r>
    </w:p>
    <w:p>
      <w:pPr>
        <w:widowControl/>
        <w:ind w:firstLine="420" w:firstLineChars="200"/>
        <w:rPr>
          <w:rFonts w:hAnsi="宋体"/>
          <w:bCs/>
          <w:highlight w:val="none"/>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bookmarkEnd w:id="60"/>
    <w:bookmarkEnd w:id="61"/>
    <w:p>
      <w:pPr>
        <w:adjustRightInd w:val="0"/>
        <w:snapToGrid w:val="0"/>
        <w:spacing w:line="360" w:lineRule="auto"/>
        <w:ind w:firstLine="883" w:firstLineChars="200"/>
        <w:jc w:val="center"/>
        <w:outlineLvl w:val="0"/>
        <w:rPr>
          <w:rFonts w:hint="eastAsia" w:ascii="楷体" w:hAnsi="楷体" w:eastAsia="楷体" w:cs="楷体"/>
          <w:b/>
          <w:bCs/>
          <w:sz w:val="44"/>
          <w:szCs w:val="44"/>
        </w:rPr>
      </w:pPr>
      <w:bookmarkStart w:id="63" w:name="_Toc15880"/>
      <w:bookmarkStart w:id="64" w:name="_Toc24347"/>
      <w:bookmarkStart w:id="65" w:name="_Toc273"/>
      <w:bookmarkStart w:id="66" w:name="_Toc8457"/>
      <w:bookmarkStart w:id="67" w:name="_Toc324237157"/>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1325" w:firstLineChars="300"/>
        <w:jc w:val="both"/>
        <w:outlineLvl w:val="0"/>
        <w:rPr>
          <w:rFonts w:hint="eastAsia" w:ascii="楷体" w:hAnsi="楷体" w:eastAsia="楷体" w:cs="楷体"/>
          <w:b/>
          <w:bCs/>
          <w:sz w:val="44"/>
          <w:szCs w:val="44"/>
        </w:rPr>
      </w:pPr>
      <w:r>
        <w:rPr>
          <w:rFonts w:hint="eastAsia" w:ascii="楷体" w:hAnsi="楷体" w:eastAsia="楷体" w:cs="楷体"/>
          <w:b/>
          <w:bCs/>
          <w:sz w:val="44"/>
          <w:szCs w:val="44"/>
        </w:rPr>
        <w:t>第四章  评审方法和评审标准</w:t>
      </w:r>
      <w:bookmarkEnd w:id="63"/>
    </w:p>
    <w:p>
      <w:pPr>
        <w:pStyle w:val="40"/>
        <w:numPr>
          <w:ilvl w:val="0"/>
          <w:numId w:val="0"/>
        </w:numPr>
        <w:outlineLvl w:val="9"/>
        <w:rPr>
          <w:rFonts w:hint="eastAsia" w:ascii="楷体" w:hAnsi="楷体" w:eastAsia="楷体" w:cs="楷体"/>
          <w:snapToGrid w:val="0"/>
          <w:kern w:val="0"/>
        </w:rPr>
      </w:pPr>
      <w:bookmarkStart w:id="68" w:name="_Toc6209"/>
      <w:r>
        <w:rPr>
          <w:rFonts w:hint="eastAsia" w:ascii="楷体" w:hAnsi="楷体" w:eastAsia="楷体" w:cs="楷体"/>
          <w:snapToGrid w:val="0"/>
          <w:kern w:val="0"/>
        </w:rPr>
        <w:t>一、评标方法与定标原则</w:t>
      </w:r>
      <w:bookmarkEnd w:id="64"/>
      <w:bookmarkEnd w:id="68"/>
    </w:p>
    <w:p>
      <w:pPr>
        <w:pStyle w:val="8"/>
        <w:spacing w:line="240" w:lineRule="auto"/>
        <w:ind w:firstLine="480" w:firstLineChars="200"/>
        <w:rPr>
          <w:rFonts w:hint="eastAsia" w:ascii="楷体" w:hAnsi="楷体" w:eastAsia="楷体" w:cs="楷体"/>
          <w:kern w:val="0"/>
          <w:sz w:val="24"/>
          <w:szCs w:val="21"/>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序排列，评标委员会推荐</w:t>
      </w:r>
      <w:r>
        <w:rPr>
          <w:rFonts w:hint="eastAsia" w:ascii="楷体" w:hAnsi="楷体" w:eastAsia="楷体" w:cs="楷体"/>
          <w:kern w:val="0"/>
          <w:sz w:val="24"/>
          <w:szCs w:val="21"/>
          <w:lang w:eastAsia="zh-CN"/>
        </w:rPr>
        <w:t>第一</w:t>
      </w:r>
      <w:r>
        <w:rPr>
          <w:rFonts w:hint="eastAsia" w:ascii="楷体" w:hAnsi="楷体" w:eastAsia="楷体" w:cs="楷体"/>
          <w:kern w:val="0"/>
          <w:sz w:val="24"/>
          <w:szCs w:val="21"/>
          <w:lang w:val="en-US" w:eastAsia="zh-CN"/>
        </w:rPr>
        <w:t>名为</w:t>
      </w:r>
      <w:r>
        <w:rPr>
          <w:rFonts w:hint="eastAsia" w:ascii="楷体" w:hAnsi="楷体" w:eastAsia="楷体" w:cs="楷体"/>
          <w:kern w:val="0"/>
          <w:sz w:val="24"/>
          <w:szCs w:val="21"/>
        </w:rPr>
        <w:t>成交候选人。具体打分办法如下：</w:t>
      </w:r>
    </w:p>
    <w:p>
      <w:pPr>
        <w:pStyle w:val="40"/>
        <w:numPr>
          <w:ilvl w:val="0"/>
          <w:numId w:val="0"/>
        </w:numPr>
        <w:outlineLvl w:val="9"/>
        <w:rPr>
          <w:rFonts w:hint="eastAsia" w:ascii="楷体" w:hAnsi="楷体" w:eastAsia="楷体" w:cs="楷体"/>
          <w:snapToGrid w:val="0"/>
          <w:kern w:val="0"/>
        </w:rPr>
      </w:pPr>
      <w:bookmarkStart w:id="69" w:name="_Toc25132"/>
      <w:bookmarkStart w:id="70" w:name="_Toc31574"/>
      <w:bookmarkStart w:id="71" w:name="_Toc27008"/>
      <w:bookmarkStart w:id="72" w:name="_Toc26593"/>
      <w:bookmarkStart w:id="73" w:name="_Toc743"/>
      <w:r>
        <w:rPr>
          <w:rFonts w:hint="eastAsia" w:ascii="楷体" w:hAnsi="楷体" w:eastAsia="楷体" w:cs="楷体"/>
          <w:snapToGrid w:val="0"/>
          <w:kern w:val="0"/>
        </w:rPr>
        <w:t>二、评标标准</w:t>
      </w:r>
      <w:bookmarkEnd w:id="69"/>
      <w:bookmarkEnd w:id="70"/>
      <w:bookmarkEnd w:id="71"/>
      <w:bookmarkEnd w:id="72"/>
      <w:bookmarkEnd w:id="73"/>
    </w:p>
    <w:tbl>
      <w:tblPr>
        <w:tblStyle w:val="24"/>
        <w:tblpPr w:leftFromText="180" w:rightFromText="180" w:vertAnchor="text" w:horzAnchor="page" w:tblpX="1347" w:tblpY="294"/>
        <w:tblOverlap w:val="never"/>
        <w:tblW w:w="9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7938"/>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blHeader/>
        </w:trPr>
        <w:tc>
          <w:tcPr>
            <w:tcW w:w="1104" w:type="dxa"/>
            <w:vAlign w:val="center"/>
          </w:tcPr>
          <w:p>
            <w:pPr>
              <w:adjustRightInd w:val="0"/>
              <w:snapToGrid w:val="0"/>
              <w:jc w:val="center"/>
              <w:rPr>
                <w:rFonts w:ascii="宋体" w:hAnsi="宋体" w:cs="宋体"/>
                <w:b/>
                <w:color w:val="000000"/>
                <w:kern w:val="0"/>
                <w:sz w:val="24"/>
              </w:rPr>
            </w:pPr>
            <w:bookmarkStart w:id="74" w:name="_Toc29299"/>
            <w:r>
              <w:rPr>
                <w:rFonts w:hint="eastAsia" w:ascii="宋体" w:hAnsi="宋体" w:cs="宋体"/>
                <w:b/>
                <w:color w:val="000000"/>
                <w:kern w:val="0"/>
                <w:sz w:val="24"/>
              </w:rPr>
              <w:t>项目</w:t>
            </w:r>
          </w:p>
        </w:tc>
        <w:tc>
          <w:tcPr>
            <w:tcW w:w="793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评标细则</w:t>
            </w:r>
          </w:p>
        </w:tc>
        <w:tc>
          <w:tcPr>
            <w:tcW w:w="70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1104" w:type="dxa"/>
            <w:vAlign w:val="center"/>
          </w:tcPr>
          <w:p>
            <w:pPr>
              <w:adjustRightInd w:val="0"/>
              <w:snapToGrid w:val="0"/>
              <w:jc w:val="center"/>
              <w:rPr>
                <w:rFonts w:ascii="宋体" w:hAnsi="宋体" w:cs="宋体"/>
                <w:color w:val="000000"/>
                <w:sz w:val="24"/>
              </w:rPr>
            </w:pPr>
            <w:r>
              <w:rPr>
                <w:rFonts w:hint="eastAsia" w:ascii="宋体" w:hAnsi="宋体" w:cs="宋体"/>
                <w:color w:val="000000"/>
                <w:sz w:val="24"/>
              </w:rPr>
              <w:t>价格</w:t>
            </w:r>
          </w:p>
          <w:p>
            <w:pPr>
              <w:adjustRightInd w:val="0"/>
              <w:snapToGrid w:val="0"/>
              <w:jc w:val="center"/>
              <w:rPr>
                <w:rFonts w:ascii="宋体" w:hAnsi="宋体" w:cs="宋体"/>
                <w:color w:val="000000"/>
                <w:sz w:val="24"/>
              </w:rPr>
            </w:pPr>
            <w:r>
              <w:rPr>
                <w:rFonts w:hint="eastAsia" w:ascii="宋体" w:hAnsi="宋体" w:cs="宋体"/>
                <w:color w:val="000000"/>
                <w:sz w:val="24"/>
              </w:rPr>
              <w:t>（3</w:t>
            </w:r>
            <w:r>
              <w:rPr>
                <w:rFonts w:hint="eastAsia" w:ascii="宋体" w:hAnsi="宋体" w:cs="宋体"/>
                <w:color w:val="000000"/>
                <w:sz w:val="24"/>
                <w:lang w:val="en-US" w:eastAsia="zh-CN"/>
              </w:rPr>
              <w:t>5</w:t>
            </w:r>
            <w:r>
              <w:rPr>
                <w:rFonts w:hint="eastAsia" w:ascii="宋体" w:hAnsi="宋体" w:cs="宋体"/>
                <w:color w:val="000000"/>
                <w:sz w:val="24"/>
              </w:rPr>
              <w:t>分）</w:t>
            </w:r>
          </w:p>
        </w:tc>
        <w:tc>
          <w:tcPr>
            <w:tcW w:w="7938" w:type="dxa"/>
            <w:vAlign w:val="center"/>
          </w:tcPr>
          <w:p>
            <w:pPr>
              <w:rPr>
                <w:rFonts w:ascii="宋体" w:hAnsi="宋体" w:cs="宋体"/>
                <w:color w:val="000000"/>
                <w:sz w:val="24"/>
              </w:rPr>
            </w:pPr>
            <w:r>
              <w:rPr>
                <w:rFonts w:hint="eastAsia" w:ascii="宋体" w:hAnsi="宋体" w:cs="宋体"/>
                <w:color w:val="000000"/>
                <w:sz w:val="24"/>
              </w:rPr>
              <w:t>采用低价优先法计算，即满足招标文件要求且投标报价最低的为评标基准，其投标报价分为满分。其他投标人的投标折扣分按照下列公式计算：投标报价得分=（评标基准／投标折扣）×3</w:t>
            </w:r>
            <w:r>
              <w:rPr>
                <w:rFonts w:hint="eastAsia" w:ascii="宋体" w:hAnsi="宋体" w:cs="宋体"/>
                <w:color w:val="000000"/>
                <w:sz w:val="24"/>
                <w:lang w:val="en-US" w:eastAsia="zh-CN"/>
              </w:rPr>
              <w:t>5</w:t>
            </w:r>
            <w:r>
              <w:rPr>
                <w:rFonts w:hint="eastAsia" w:ascii="宋体" w:hAnsi="宋体" w:cs="宋体"/>
                <w:color w:val="000000"/>
                <w:sz w:val="24"/>
              </w:rPr>
              <w:t>.00（小数点保留两位）</w:t>
            </w:r>
          </w:p>
        </w:tc>
        <w:tc>
          <w:tcPr>
            <w:tcW w:w="708" w:type="dxa"/>
            <w:vAlign w:val="center"/>
          </w:tcPr>
          <w:p>
            <w:pPr>
              <w:pStyle w:val="89"/>
              <w:spacing w:before="0" w:line="240" w:lineRule="auto"/>
              <w:ind w:firstLine="0" w:firstLineChars="0"/>
              <w:rPr>
                <w:rFonts w:ascii="宋体" w:hAnsi="宋体" w:cs="宋体"/>
                <w:color w:val="000000"/>
                <w:szCs w:val="24"/>
              </w:rPr>
            </w:pPr>
            <w:r>
              <w:rPr>
                <w:rFonts w:hint="eastAsia" w:ascii="宋体" w:hAnsi="宋体" w:cs="宋体"/>
                <w:color w:val="000000"/>
                <w:szCs w:val="24"/>
              </w:rPr>
              <w:t>3</w:t>
            </w:r>
            <w:r>
              <w:rPr>
                <w:rFonts w:hint="eastAsia" w:ascii="宋体" w:hAnsi="宋体" w:cs="宋体"/>
                <w:color w:val="000000"/>
                <w:szCs w:val="24"/>
                <w:lang w:val="en-US" w:eastAsia="zh-CN"/>
              </w:rPr>
              <w:t>5</w:t>
            </w:r>
            <w:r>
              <w:rPr>
                <w:rFonts w:hint="eastAsia" w:ascii="宋体" w:hAnsi="宋体" w:cs="宋体"/>
                <w:color w:val="000000"/>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104" w:type="dxa"/>
            <w:vAlign w:val="center"/>
          </w:tcPr>
          <w:p>
            <w:pPr>
              <w:rPr>
                <w:rFonts w:ascii="宋体" w:hAnsi="宋体" w:cs="宋体"/>
                <w:color w:val="000000"/>
                <w:sz w:val="24"/>
              </w:rPr>
            </w:pPr>
            <w:r>
              <w:rPr>
                <w:rFonts w:hint="eastAsia" w:ascii="宋体" w:hAnsi="宋体" w:cs="宋体"/>
                <w:color w:val="000000"/>
                <w:sz w:val="24"/>
              </w:rPr>
              <w:t>实施</w:t>
            </w:r>
          </w:p>
          <w:p>
            <w:pPr>
              <w:rPr>
                <w:rFonts w:ascii="宋体" w:hAnsi="宋体" w:cs="宋体"/>
                <w:color w:val="000000"/>
                <w:sz w:val="24"/>
              </w:rPr>
            </w:pPr>
            <w:r>
              <w:rPr>
                <w:rFonts w:hint="eastAsia" w:ascii="宋体" w:hAnsi="宋体" w:cs="宋体"/>
                <w:color w:val="000000"/>
                <w:sz w:val="24"/>
              </w:rPr>
              <w:t>方案</w:t>
            </w:r>
          </w:p>
          <w:p>
            <w:pPr>
              <w:rPr>
                <w:rFonts w:ascii="宋体" w:hAnsi="宋体" w:cs="宋体"/>
                <w:color w:val="000000"/>
                <w:sz w:val="24"/>
              </w:rPr>
            </w:pPr>
            <w:r>
              <w:rPr>
                <w:rFonts w:hint="eastAsia" w:ascii="宋体" w:hAnsi="宋体" w:cs="宋体"/>
                <w:color w:val="000000"/>
                <w:sz w:val="24"/>
              </w:rPr>
              <w:t>（</w:t>
            </w:r>
            <w:r>
              <w:rPr>
                <w:rFonts w:hint="eastAsia" w:ascii="宋体" w:hAnsi="宋体" w:cs="宋体"/>
                <w:color w:val="000000"/>
                <w:sz w:val="24"/>
                <w:lang w:val="en-US" w:eastAsia="zh-CN"/>
              </w:rPr>
              <w:t>35</w:t>
            </w:r>
            <w:r>
              <w:rPr>
                <w:rFonts w:hint="eastAsia" w:ascii="宋体" w:hAnsi="宋体" w:cs="宋体"/>
                <w:color w:val="000000"/>
                <w:sz w:val="24"/>
              </w:rPr>
              <w:t>分）</w:t>
            </w:r>
          </w:p>
        </w:tc>
        <w:tc>
          <w:tcPr>
            <w:tcW w:w="7938" w:type="dxa"/>
            <w:vAlign w:val="center"/>
          </w:tcPr>
          <w:p>
            <w:pPr>
              <w:numPr>
                <w:ilvl w:val="0"/>
                <w:numId w:val="0"/>
              </w:numPr>
              <w:rPr>
                <w:rFonts w:hint="eastAsia" w:ascii="宋体" w:hAnsi="宋体" w:cs="宋体"/>
                <w:color w:val="000000"/>
                <w:sz w:val="24"/>
                <w:lang w:eastAsia="zh-CN"/>
              </w:rPr>
            </w:pPr>
            <w:r>
              <w:rPr>
                <w:rFonts w:hint="eastAsia" w:ascii="宋体" w:hAnsi="宋体" w:cs="宋体"/>
                <w:color w:val="000000"/>
                <w:sz w:val="24"/>
                <w:lang w:val="en-US" w:eastAsia="zh-CN"/>
              </w:rPr>
              <w:t>1.</w:t>
            </w:r>
            <w:r>
              <w:rPr>
                <w:rFonts w:hint="eastAsia" w:ascii="宋体" w:hAnsi="宋体" w:cs="宋体"/>
                <w:color w:val="000000"/>
                <w:sz w:val="24"/>
              </w:rPr>
              <w:t>项目实施总体方案描述准确、完整程度</w:t>
            </w:r>
            <w:r>
              <w:rPr>
                <w:rFonts w:hint="eastAsia" w:ascii="宋体" w:hAnsi="宋体" w:cs="宋体"/>
                <w:color w:val="000000"/>
                <w:sz w:val="24"/>
                <w:lang w:eastAsia="zh-CN"/>
              </w:rPr>
              <w:t>，总体方案科学有效、描述准确、方案完整度高</w:t>
            </w:r>
            <w:r>
              <w:rPr>
                <w:rFonts w:hint="eastAsia" w:ascii="宋体" w:hAnsi="宋体" w:cs="宋体"/>
                <w:color w:val="000000"/>
                <w:sz w:val="24"/>
              </w:rPr>
              <w:t>得</w:t>
            </w:r>
            <w:r>
              <w:rPr>
                <w:rFonts w:hint="eastAsia" w:ascii="宋体" w:hAnsi="宋体" w:cs="宋体"/>
                <w:color w:val="000000"/>
                <w:sz w:val="24"/>
                <w:lang w:val="en-US" w:eastAsia="zh-CN"/>
              </w:rPr>
              <w:t>5</w:t>
            </w:r>
            <w:r>
              <w:rPr>
                <w:rFonts w:hint="eastAsia" w:ascii="宋体" w:hAnsi="宋体" w:cs="宋体"/>
                <w:color w:val="000000"/>
                <w:sz w:val="24"/>
              </w:rPr>
              <w:t>分，项目实施总体方案描述</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lang w:eastAsia="zh-CN"/>
              </w:rPr>
              <w:t>，</w:t>
            </w:r>
            <w:r>
              <w:rPr>
                <w:rFonts w:hint="eastAsia" w:ascii="宋体" w:hAnsi="宋体" w:cs="宋体"/>
                <w:color w:val="000000"/>
                <w:sz w:val="24"/>
              </w:rPr>
              <w:t>项目实施总体方案描述</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且不太</w:t>
            </w:r>
            <w:r>
              <w:rPr>
                <w:rFonts w:hint="eastAsia" w:ascii="宋体" w:hAnsi="宋体" w:cs="宋体"/>
                <w:color w:val="000000"/>
                <w:sz w:val="24"/>
              </w:rPr>
              <w:t>完整</w:t>
            </w:r>
            <w:r>
              <w:rPr>
                <w:rFonts w:hint="eastAsia" w:ascii="宋体" w:hAnsi="宋体" w:cs="宋体"/>
                <w:color w:val="000000"/>
                <w:sz w:val="24"/>
                <w:lang w:eastAsia="zh-CN"/>
              </w:rPr>
              <w:t>，得</w:t>
            </w:r>
            <w:r>
              <w:rPr>
                <w:rFonts w:hint="eastAsia" w:ascii="宋体" w:hAnsi="宋体" w:cs="宋体"/>
                <w:color w:val="000000"/>
                <w:sz w:val="24"/>
                <w:lang w:val="en-US" w:eastAsia="zh-CN"/>
              </w:rPr>
              <w:t>1分，无总体方案描述本项不得分。</w:t>
            </w:r>
          </w:p>
          <w:p>
            <w:pPr>
              <w:pStyle w:val="2"/>
              <w:rPr>
                <w:rFonts w:hint="eastAsia"/>
                <w:lang w:eastAsia="zh-CN"/>
              </w:rPr>
            </w:pPr>
          </w:p>
          <w:p>
            <w:pPr>
              <w:numPr>
                <w:ilvl w:val="0"/>
                <w:numId w:val="0"/>
              </w:numPr>
              <w:ind w:leftChars="0"/>
              <w:rPr>
                <w:rFonts w:hint="eastAsia" w:ascii="宋体" w:hAnsi="宋体" w:cs="宋体"/>
                <w:color w:val="000000"/>
                <w:sz w:val="24"/>
                <w:lang w:eastAsia="zh-CN"/>
              </w:rPr>
            </w:pPr>
            <w:r>
              <w:rPr>
                <w:rFonts w:hint="eastAsia" w:ascii="宋体" w:hAnsi="宋体" w:cs="宋体"/>
                <w:color w:val="000000"/>
                <w:sz w:val="24"/>
                <w:lang w:val="en-US" w:eastAsia="zh-CN"/>
              </w:rPr>
              <w:t>2.</w:t>
            </w:r>
            <w:r>
              <w:rPr>
                <w:rFonts w:hint="eastAsia" w:ascii="宋体" w:hAnsi="宋体" w:cs="宋体"/>
                <w:color w:val="000000"/>
                <w:sz w:val="24"/>
              </w:rPr>
              <w:t>实施现场设施布置描述的准确、</w:t>
            </w:r>
            <w:r>
              <w:rPr>
                <w:rFonts w:hint="eastAsia" w:ascii="宋体" w:hAnsi="宋体" w:cs="宋体"/>
                <w:color w:val="000000"/>
                <w:sz w:val="24"/>
                <w:lang w:eastAsia="zh-CN"/>
              </w:rPr>
              <w:t>内容</w:t>
            </w:r>
            <w:r>
              <w:rPr>
                <w:rFonts w:hint="eastAsia" w:ascii="宋体" w:hAnsi="宋体" w:cs="宋体"/>
                <w:color w:val="000000"/>
                <w:sz w:val="24"/>
              </w:rPr>
              <w:t>完整得5分，实施现场设施布置描述的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内容基本</w:t>
            </w:r>
            <w:r>
              <w:rPr>
                <w:rFonts w:hint="eastAsia" w:ascii="宋体" w:hAnsi="宋体" w:cs="宋体"/>
                <w:color w:val="000000"/>
                <w:sz w:val="24"/>
              </w:rPr>
              <w:t>完整</w:t>
            </w:r>
            <w:r>
              <w:rPr>
                <w:rFonts w:hint="eastAsia" w:ascii="宋体" w:hAnsi="宋体" w:cs="宋体"/>
                <w:color w:val="000000"/>
                <w:sz w:val="24"/>
                <w:lang w:eastAsia="zh-CN"/>
              </w:rPr>
              <w:t>得</w:t>
            </w:r>
            <w:r>
              <w:rPr>
                <w:rFonts w:hint="eastAsia" w:ascii="宋体" w:hAnsi="宋体" w:cs="宋体"/>
                <w:color w:val="000000"/>
                <w:sz w:val="24"/>
              </w:rPr>
              <w:t>3分，实施现场设施布置描述的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内容</w:t>
            </w:r>
            <w:r>
              <w:rPr>
                <w:rFonts w:hint="eastAsia" w:ascii="宋体" w:hAnsi="宋体" w:cs="宋体"/>
                <w:color w:val="000000"/>
                <w:sz w:val="24"/>
              </w:rPr>
              <w:t>完整</w:t>
            </w:r>
            <w:r>
              <w:rPr>
                <w:rFonts w:hint="eastAsia" w:ascii="宋体" w:hAnsi="宋体" w:cs="宋体"/>
                <w:color w:val="000000"/>
                <w:sz w:val="24"/>
                <w:lang w:eastAsia="zh-CN"/>
              </w:rPr>
              <w:t>度一般得</w:t>
            </w:r>
            <w:r>
              <w:rPr>
                <w:rFonts w:hint="eastAsia" w:ascii="宋体" w:hAnsi="宋体" w:cs="宋体"/>
                <w:color w:val="000000"/>
                <w:sz w:val="24"/>
              </w:rPr>
              <w:t>1分，没有</w:t>
            </w:r>
            <w:r>
              <w:rPr>
                <w:rFonts w:hint="eastAsia" w:ascii="宋体" w:hAnsi="宋体" w:cs="宋体"/>
                <w:color w:val="000000"/>
                <w:sz w:val="24"/>
                <w:lang w:eastAsia="zh-CN"/>
              </w:rPr>
              <w:t>此项描述</w:t>
            </w:r>
            <w:r>
              <w:rPr>
                <w:rFonts w:hint="eastAsia" w:ascii="宋体" w:hAnsi="宋体" w:cs="宋体"/>
                <w:color w:val="000000"/>
                <w:sz w:val="24"/>
              </w:rPr>
              <w:t>不得分</w:t>
            </w:r>
            <w:r>
              <w:rPr>
                <w:rFonts w:hint="eastAsia" w:ascii="宋体" w:hAnsi="宋体" w:cs="宋体"/>
                <w:color w:val="000000"/>
                <w:sz w:val="24"/>
                <w:lang w:eastAsia="zh-CN"/>
              </w:rPr>
              <w:t>。</w:t>
            </w:r>
          </w:p>
          <w:p>
            <w:pPr>
              <w:pStyle w:val="2"/>
              <w:numPr>
                <w:ilvl w:val="0"/>
                <w:numId w:val="0"/>
              </w:numPr>
              <w:ind w:leftChars="0"/>
              <w:rPr>
                <w:rFonts w:hint="eastAsia"/>
                <w:lang w:eastAsia="zh-CN"/>
              </w:rPr>
            </w:pPr>
          </w:p>
          <w:p>
            <w:pPr>
              <w:rPr>
                <w:rFonts w:hint="default" w:ascii="宋体" w:hAnsi="宋体" w:cs="宋体"/>
                <w:color w:val="000000"/>
                <w:sz w:val="24"/>
                <w:lang w:val="en-US" w:eastAsia="zh-CN"/>
              </w:rPr>
            </w:pPr>
            <w:r>
              <w:rPr>
                <w:rFonts w:hint="eastAsia" w:ascii="宋体" w:hAnsi="宋体" w:cs="宋体"/>
                <w:color w:val="000000"/>
                <w:sz w:val="24"/>
              </w:rPr>
              <w:t>3. 实施进度计划和各阶段进度的保证措施。描述的准确、完整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5分；</w:t>
            </w:r>
            <w:r>
              <w:rPr>
                <w:rFonts w:hint="eastAsia" w:ascii="宋体" w:hAnsi="宋体" w:cs="宋体"/>
                <w:color w:val="000000"/>
                <w:sz w:val="24"/>
              </w:rPr>
              <w:t xml:space="preserve"> 实施进度计划和各阶段进度的保证措施描述的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3分，</w:t>
            </w:r>
            <w:r>
              <w:rPr>
                <w:rFonts w:hint="eastAsia" w:ascii="宋体" w:hAnsi="宋体" w:cs="宋体"/>
                <w:color w:val="000000"/>
                <w:sz w:val="24"/>
              </w:rPr>
              <w:t>实施进度计划和各阶段进度的保证措施描述的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1分，无此项描述的不得分。</w:t>
            </w:r>
          </w:p>
          <w:p>
            <w:pPr>
              <w:rPr>
                <w:rFonts w:hint="default" w:ascii="宋体" w:hAnsi="宋体" w:cs="宋体"/>
                <w:color w:val="000000"/>
                <w:sz w:val="24"/>
                <w:lang w:val="en-US" w:eastAsia="zh-CN"/>
              </w:rPr>
            </w:pPr>
          </w:p>
          <w:p>
            <w:pPr>
              <w:numPr>
                <w:ilvl w:val="0"/>
                <w:numId w:val="3"/>
              </w:numPr>
              <w:ind w:leftChars="0"/>
              <w:rPr>
                <w:rFonts w:hint="eastAsia" w:ascii="宋体" w:hAnsi="宋体" w:cs="宋体"/>
                <w:color w:val="000000"/>
                <w:sz w:val="24"/>
                <w:lang w:val="en-US" w:eastAsia="zh-CN"/>
              </w:rPr>
            </w:pPr>
            <w:r>
              <w:rPr>
                <w:rFonts w:hint="eastAsia" w:ascii="宋体" w:hAnsi="宋体" w:cs="宋体"/>
                <w:color w:val="000000"/>
                <w:sz w:val="24"/>
              </w:rPr>
              <w:t>实施现场投资控制管理方案的保证措施。描述的准确、完整</w:t>
            </w:r>
            <w:r>
              <w:rPr>
                <w:rFonts w:hint="eastAsia" w:ascii="宋体" w:hAnsi="宋体" w:cs="宋体"/>
                <w:color w:val="000000"/>
                <w:sz w:val="24"/>
                <w:lang w:eastAsia="zh-CN"/>
              </w:rPr>
              <w:t>可</w:t>
            </w:r>
            <w:r>
              <w:rPr>
                <w:rFonts w:hint="eastAsia" w:ascii="宋体" w:hAnsi="宋体" w:cs="宋体"/>
                <w:color w:val="000000"/>
                <w:sz w:val="24"/>
              </w:rPr>
              <w:t>得5分，实施现场投资控制管理方案的保证措施描述的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3分，</w:t>
            </w:r>
            <w:r>
              <w:rPr>
                <w:rFonts w:hint="eastAsia" w:ascii="宋体" w:hAnsi="宋体" w:cs="宋体"/>
                <w:color w:val="000000"/>
                <w:sz w:val="24"/>
              </w:rPr>
              <w:t>实施现场投资控制管理方案的保证措施描述的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1分，无此项描述不得分</w:t>
            </w:r>
          </w:p>
          <w:p>
            <w:pPr>
              <w:pStyle w:val="2"/>
              <w:numPr>
                <w:ilvl w:val="0"/>
                <w:numId w:val="0"/>
              </w:numPr>
              <w:rPr>
                <w:rFonts w:hint="eastAsia"/>
                <w:lang w:val="en-US" w:eastAsia="zh-CN"/>
              </w:rPr>
            </w:pPr>
          </w:p>
          <w:p>
            <w:pPr>
              <w:numPr>
                <w:ilvl w:val="0"/>
                <w:numId w:val="3"/>
              </w:numPr>
              <w:ind w:left="0" w:leftChars="0" w:firstLine="0" w:firstLineChars="0"/>
              <w:rPr>
                <w:rFonts w:hint="eastAsia" w:ascii="宋体" w:hAnsi="宋体" w:cs="宋体"/>
                <w:color w:val="000000"/>
                <w:sz w:val="24"/>
                <w:lang w:eastAsia="zh-CN"/>
              </w:rPr>
            </w:pPr>
            <w:r>
              <w:rPr>
                <w:rFonts w:hint="eastAsia" w:ascii="宋体" w:hAnsi="宋体" w:cs="宋体"/>
                <w:color w:val="000000"/>
                <w:sz w:val="24"/>
              </w:rPr>
              <w:t>项目实施方案及质量保证措施。描述的准确、完整</w:t>
            </w:r>
            <w:r>
              <w:rPr>
                <w:rFonts w:hint="eastAsia" w:ascii="宋体" w:hAnsi="宋体" w:cs="宋体"/>
                <w:color w:val="000000"/>
                <w:sz w:val="24"/>
                <w:lang w:eastAsia="zh-CN"/>
              </w:rPr>
              <w:t>可</w:t>
            </w:r>
            <w:r>
              <w:rPr>
                <w:rFonts w:hint="eastAsia" w:ascii="宋体" w:hAnsi="宋体" w:cs="宋体"/>
                <w:color w:val="000000"/>
                <w:sz w:val="24"/>
              </w:rPr>
              <w:t>得5分，项目实施方案及质量保证措施描述的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lang w:eastAsia="zh-CN"/>
              </w:rPr>
              <w:t>，</w:t>
            </w:r>
            <w:r>
              <w:rPr>
                <w:rFonts w:hint="eastAsia" w:ascii="宋体" w:hAnsi="宋体" w:cs="宋体"/>
                <w:color w:val="000000"/>
                <w:sz w:val="24"/>
              </w:rPr>
              <w:t>项目实施方案及质量保证措施描述的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1</w:t>
            </w:r>
            <w:r>
              <w:rPr>
                <w:rFonts w:hint="eastAsia" w:ascii="宋体" w:hAnsi="宋体" w:cs="宋体"/>
                <w:color w:val="000000"/>
                <w:sz w:val="24"/>
              </w:rPr>
              <w:t>分</w:t>
            </w:r>
            <w:r>
              <w:rPr>
                <w:rFonts w:hint="eastAsia" w:ascii="宋体" w:hAnsi="宋体" w:cs="宋体"/>
                <w:color w:val="000000"/>
                <w:sz w:val="24"/>
                <w:lang w:eastAsia="zh-CN"/>
              </w:rPr>
              <w:t>，无此项描述</w:t>
            </w:r>
            <w:r>
              <w:rPr>
                <w:rFonts w:hint="eastAsia" w:ascii="宋体" w:hAnsi="宋体" w:cs="宋体"/>
                <w:color w:val="000000"/>
                <w:sz w:val="24"/>
              </w:rPr>
              <w:t>不得分</w:t>
            </w:r>
            <w:r>
              <w:rPr>
                <w:rFonts w:hint="eastAsia" w:ascii="宋体" w:hAnsi="宋体" w:cs="宋体"/>
                <w:color w:val="000000"/>
                <w:sz w:val="24"/>
                <w:lang w:eastAsia="zh-CN"/>
              </w:rPr>
              <w:t>；</w:t>
            </w:r>
          </w:p>
          <w:p>
            <w:pPr>
              <w:pStyle w:val="2"/>
              <w:numPr>
                <w:ilvl w:val="0"/>
                <w:numId w:val="0"/>
              </w:numPr>
              <w:ind w:leftChars="0"/>
              <w:rPr>
                <w:rFonts w:hint="eastAsia"/>
                <w:lang w:eastAsia="zh-CN"/>
              </w:rPr>
            </w:pPr>
          </w:p>
          <w:p>
            <w:pPr>
              <w:numPr>
                <w:ilvl w:val="0"/>
                <w:numId w:val="3"/>
              </w:numPr>
              <w:ind w:left="0" w:leftChars="0" w:firstLine="0" w:firstLineChars="0"/>
              <w:rPr>
                <w:rFonts w:hint="eastAsia" w:ascii="宋体" w:hAnsi="宋体" w:cs="宋体"/>
                <w:color w:val="000000"/>
                <w:sz w:val="24"/>
              </w:rPr>
            </w:pPr>
            <w:r>
              <w:rPr>
                <w:rFonts w:hint="eastAsia" w:ascii="宋体" w:hAnsi="宋体" w:cs="宋体"/>
                <w:color w:val="000000"/>
                <w:sz w:val="24"/>
              </w:rPr>
              <w:t>安全文明实施及环境保护措施。描述的准确、完整得5分，安全文明实施及环境保护措施描述的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完整得3分，安全文明实施及环境保护措施描述的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完整得</w:t>
            </w:r>
            <w:r>
              <w:rPr>
                <w:rFonts w:hint="eastAsia" w:ascii="宋体" w:hAnsi="宋体" w:cs="宋体"/>
                <w:color w:val="000000"/>
                <w:sz w:val="24"/>
                <w:lang w:val="en-US" w:eastAsia="zh-CN"/>
              </w:rPr>
              <w:t>1分，</w:t>
            </w:r>
            <w:r>
              <w:rPr>
                <w:rFonts w:hint="eastAsia" w:ascii="宋体" w:hAnsi="宋体" w:cs="宋体"/>
                <w:color w:val="000000"/>
                <w:sz w:val="24"/>
                <w:lang w:eastAsia="zh-CN"/>
              </w:rPr>
              <w:t>无此项描述</w:t>
            </w:r>
            <w:r>
              <w:rPr>
                <w:rFonts w:hint="eastAsia" w:ascii="宋体" w:hAnsi="宋体" w:cs="宋体"/>
                <w:color w:val="000000"/>
                <w:sz w:val="24"/>
              </w:rPr>
              <w:t>不得分；</w:t>
            </w:r>
          </w:p>
          <w:p>
            <w:pPr>
              <w:pStyle w:val="2"/>
              <w:numPr>
                <w:ilvl w:val="0"/>
                <w:numId w:val="0"/>
              </w:numPr>
              <w:ind w:leftChars="0"/>
            </w:pPr>
          </w:p>
          <w:p>
            <w:pPr>
              <w:rPr>
                <w:rFonts w:hint="default" w:ascii="宋体" w:hAnsi="宋体" w:eastAsia="宋体" w:cs="宋体"/>
                <w:color w:val="000000"/>
                <w:sz w:val="24"/>
                <w:lang w:val="en-US" w:eastAsia="zh-CN"/>
              </w:rPr>
            </w:pPr>
            <w:r>
              <w:rPr>
                <w:rFonts w:hint="eastAsia" w:ascii="宋体" w:hAnsi="宋体" w:cs="宋体"/>
                <w:color w:val="000000"/>
                <w:sz w:val="24"/>
                <w:lang w:val="en-US" w:eastAsia="zh-CN"/>
              </w:rPr>
              <w:t>7</w:t>
            </w:r>
            <w:r>
              <w:rPr>
                <w:rFonts w:hint="eastAsia" w:ascii="宋体" w:hAnsi="宋体" w:cs="宋体"/>
                <w:color w:val="000000"/>
                <w:sz w:val="24"/>
              </w:rPr>
              <w:t>. 项目实施的重点、难点和解决方案，对照有关规范及自身经验提出建设性建议和意见</w:t>
            </w:r>
            <w:r>
              <w:rPr>
                <w:rFonts w:hint="eastAsia" w:ascii="宋体" w:hAnsi="宋体" w:cs="宋体"/>
                <w:color w:val="000000"/>
                <w:sz w:val="24"/>
                <w:lang w:eastAsia="zh-CN"/>
              </w:rPr>
              <w:t>，方案科学、完整度高、可实施性强的可得</w:t>
            </w:r>
            <w:r>
              <w:rPr>
                <w:rFonts w:hint="eastAsia" w:ascii="宋体" w:hAnsi="宋体" w:cs="宋体"/>
                <w:color w:val="000000"/>
                <w:sz w:val="24"/>
              </w:rPr>
              <w:t>5分，</w:t>
            </w:r>
            <w:r>
              <w:rPr>
                <w:rFonts w:hint="eastAsia" w:ascii="宋体" w:hAnsi="宋体" w:cs="宋体"/>
                <w:color w:val="000000"/>
                <w:sz w:val="24"/>
                <w:lang w:eastAsia="zh-CN"/>
              </w:rPr>
              <w:t>方案基本完整，仅有参考性可得</w:t>
            </w:r>
            <w:r>
              <w:rPr>
                <w:rFonts w:hint="eastAsia" w:ascii="宋体" w:hAnsi="宋体" w:cs="宋体"/>
                <w:color w:val="000000"/>
                <w:sz w:val="24"/>
                <w:lang w:val="en-US" w:eastAsia="zh-CN"/>
              </w:rPr>
              <w:t>3分，方案不</w:t>
            </w:r>
            <w:r>
              <w:rPr>
                <w:rFonts w:hint="eastAsia" w:ascii="宋体" w:hAnsi="宋体" w:cs="宋体"/>
                <w:color w:val="000000"/>
                <w:sz w:val="24"/>
                <w:lang w:eastAsia="zh-CN"/>
              </w:rPr>
              <w:t>太</w:t>
            </w:r>
            <w:r>
              <w:rPr>
                <w:rFonts w:hint="eastAsia" w:ascii="宋体" w:hAnsi="宋体" w:cs="宋体"/>
                <w:color w:val="000000"/>
                <w:sz w:val="24"/>
                <w:lang w:val="en-US" w:eastAsia="zh-CN"/>
              </w:rPr>
              <w:t>完整、不</w:t>
            </w:r>
            <w:r>
              <w:rPr>
                <w:rFonts w:hint="eastAsia" w:ascii="宋体" w:hAnsi="宋体" w:cs="宋体"/>
                <w:color w:val="000000"/>
                <w:sz w:val="24"/>
                <w:lang w:eastAsia="zh-CN"/>
              </w:rPr>
              <w:t>太</w:t>
            </w:r>
            <w:r>
              <w:rPr>
                <w:rFonts w:hint="eastAsia" w:ascii="宋体" w:hAnsi="宋体" w:cs="宋体"/>
                <w:color w:val="000000"/>
                <w:sz w:val="24"/>
                <w:lang w:val="en-US" w:eastAsia="zh-CN"/>
              </w:rPr>
              <w:t>科学，不太有参考性可得1分。无此项方案不得分。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lang w:val="en-US" w:eastAsia="zh-CN"/>
              </w:rPr>
              <w:t>35</w:t>
            </w:r>
            <w:r>
              <w:rPr>
                <w:rFonts w:hint="eastAsia" w:ascii="宋体" w:hAnsi="宋体" w:cs="宋体"/>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104" w:type="dxa"/>
            <w:vMerge w:val="restart"/>
            <w:vAlign w:val="center"/>
          </w:tcPr>
          <w:p>
            <w:pPr>
              <w:widowControl/>
              <w:jc w:val="left"/>
              <w:rPr>
                <w:rFonts w:ascii="宋体" w:hAnsi="宋体" w:cs="宋体"/>
                <w:color w:val="000000"/>
                <w:sz w:val="24"/>
              </w:rPr>
            </w:pPr>
            <w:r>
              <w:rPr>
                <w:rFonts w:hint="eastAsia" w:ascii="宋体" w:hAnsi="宋体" w:cs="宋体"/>
                <w:color w:val="000000"/>
                <w:sz w:val="24"/>
              </w:rPr>
              <w:t>企业信誉及实力</w:t>
            </w:r>
          </w:p>
          <w:p>
            <w:pPr>
              <w:widowControl/>
              <w:jc w:val="left"/>
              <w:rPr>
                <w:rFonts w:ascii="宋体" w:hAnsi="宋体" w:cs="宋体"/>
                <w:color w:val="000000"/>
                <w:sz w:val="24"/>
              </w:rPr>
            </w:pPr>
            <w:r>
              <w:rPr>
                <w:rFonts w:hint="eastAsia" w:ascii="宋体" w:hAnsi="宋体" w:cs="宋体"/>
                <w:color w:val="000000"/>
                <w:sz w:val="24"/>
              </w:rPr>
              <w:t>（9分）</w:t>
            </w:r>
          </w:p>
        </w:tc>
        <w:tc>
          <w:tcPr>
            <w:tcW w:w="7938" w:type="dxa"/>
            <w:vAlign w:val="center"/>
          </w:tcPr>
          <w:p>
            <w:pPr>
              <w:rPr>
                <w:rFonts w:ascii="宋体" w:hAnsi="宋体" w:cs="宋体"/>
                <w:color w:val="000000"/>
                <w:sz w:val="24"/>
              </w:rPr>
            </w:pPr>
            <w:r>
              <w:rPr>
                <w:rFonts w:hint="eastAsia" w:ascii="宋体" w:hAnsi="宋体" w:cs="宋体"/>
                <w:color w:val="000000"/>
                <w:sz w:val="24"/>
              </w:rPr>
              <w:t xml:space="preserve">1. 现场项目管理机构人员配备（满分3分） </w:t>
            </w:r>
          </w:p>
          <w:p>
            <w:pPr>
              <w:rPr>
                <w:rFonts w:ascii="宋体" w:hAnsi="宋体" w:cs="宋体"/>
                <w:color w:val="000000"/>
                <w:sz w:val="24"/>
              </w:rPr>
            </w:pPr>
            <w:r>
              <w:rPr>
                <w:rFonts w:hint="eastAsia" w:ascii="宋体" w:hAnsi="宋体" w:cs="宋体"/>
                <w:color w:val="000000"/>
                <w:sz w:val="24"/>
              </w:rPr>
              <w:t>（1）项目管理机构主要管理人员（指项目负责人、质量员、安全员），需配备的主要管理人员数量不少于：项目负责人1名，质量员2名，安全员2名。（满足上述人员基本配备要求的得3分。）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04" w:type="dxa"/>
            <w:vMerge w:val="continue"/>
            <w:vAlign w:val="center"/>
          </w:tcPr>
          <w:p>
            <w:pPr>
              <w:widowControl/>
              <w:jc w:val="left"/>
              <w:rPr>
                <w:rFonts w:ascii="宋体" w:hAnsi="宋体" w:cs="宋体"/>
                <w:color w:val="000000"/>
                <w:sz w:val="24"/>
              </w:rPr>
            </w:pPr>
          </w:p>
        </w:tc>
        <w:tc>
          <w:tcPr>
            <w:tcW w:w="7938" w:type="dxa"/>
            <w:vAlign w:val="center"/>
          </w:tcPr>
          <w:p>
            <w:pPr>
              <w:rPr>
                <w:rFonts w:ascii="宋体" w:hAnsi="宋体" w:cs="宋体"/>
                <w:color w:val="000000"/>
                <w:sz w:val="24"/>
              </w:rPr>
            </w:pPr>
            <w:r>
              <w:rPr>
                <w:rFonts w:hint="eastAsia" w:ascii="宋体" w:hAnsi="宋体" w:cs="宋体"/>
                <w:color w:val="000000"/>
                <w:sz w:val="24"/>
              </w:rPr>
              <w:t>2．信誉、认证、奖项（满分6分）</w:t>
            </w:r>
          </w:p>
          <w:p>
            <w:pPr>
              <w:rPr>
                <w:rFonts w:ascii="宋体" w:hAnsi="宋体" w:cs="宋体"/>
                <w:color w:val="000000"/>
                <w:sz w:val="24"/>
              </w:rPr>
            </w:pPr>
            <w:r>
              <w:rPr>
                <w:rFonts w:hint="eastAsia" w:ascii="宋体" w:hAnsi="宋体" w:cs="宋体"/>
                <w:color w:val="000000"/>
                <w:sz w:val="24"/>
              </w:rPr>
              <w:t>（2）投标人具有质量、环境、安全三项认证证书的得</w:t>
            </w:r>
            <w:r>
              <w:rPr>
                <w:rFonts w:hint="eastAsia" w:ascii="宋体" w:hAnsi="宋体" w:cs="宋体"/>
                <w:color w:val="000000"/>
                <w:sz w:val="24"/>
                <w:lang w:val="en-US" w:eastAsia="zh-CN"/>
              </w:rPr>
              <w:t>6</w:t>
            </w:r>
            <w:r>
              <w:rPr>
                <w:rFonts w:hint="eastAsia" w:ascii="宋体" w:hAnsi="宋体" w:cs="宋体"/>
                <w:color w:val="000000"/>
                <w:sz w:val="24"/>
              </w:rPr>
              <w:t>分，缺一项扣</w:t>
            </w:r>
            <w:r>
              <w:rPr>
                <w:rFonts w:hint="eastAsia" w:ascii="宋体" w:hAnsi="宋体" w:cs="宋体"/>
                <w:color w:val="000000"/>
                <w:sz w:val="24"/>
                <w:lang w:val="en-US" w:eastAsia="zh-CN"/>
              </w:rPr>
              <w:t>2</w:t>
            </w:r>
            <w:r>
              <w:rPr>
                <w:rFonts w:hint="eastAsia" w:ascii="宋体" w:hAnsi="宋体" w:cs="宋体"/>
                <w:color w:val="000000"/>
                <w:sz w:val="24"/>
              </w:rPr>
              <w:t>分。（提供证书原件核查）</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04" w:type="dxa"/>
            <w:shd w:val="clear" w:color="auto" w:fill="auto"/>
            <w:vAlign w:val="center"/>
          </w:tcPr>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业绩</w:t>
            </w:r>
          </w:p>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w:t>
            </w:r>
            <w:r>
              <w:rPr>
                <w:rFonts w:hint="eastAsia" w:ascii="宋体" w:hAnsi="宋体" w:cs="宋体"/>
                <w:color w:val="000000"/>
                <w:szCs w:val="24"/>
                <w:lang w:val="en-US" w:eastAsia="zh-CN"/>
              </w:rPr>
              <w:t>12</w:t>
            </w:r>
            <w:r>
              <w:rPr>
                <w:rFonts w:hint="eastAsia" w:ascii="宋体" w:hAnsi="宋体" w:cs="宋体"/>
                <w:color w:val="000000"/>
                <w:szCs w:val="24"/>
              </w:rPr>
              <w:t>分）</w:t>
            </w:r>
          </w:p>
        </w:tc>
        <w:tc>
          <w:tcPr>
            <w:tcW w:w="7938" w:type="dxa"/>
            <w:shd w:val="clear" w:color="auto" w:fill="auto"/>
          </w:tcPr>
          <w:p>
            <w:pPr>
              <w:pStyle w:val="89"/>
              <w:spacing w:before="0" w:line="240" w:lineRule="auto"/>
              <w:ind w:firstLine="0" w:firstLineChars="0"/>
              <w:rPr>
                <w:rFonts w:hint="eastAsia" w:ascii="宋体" w:hAnsi="宋体" w:eastAsia="宋体" w:cs="宋体"/>
                <w:color w:val="000000"/>
                <w:sz w:val="24"/>
                <w:szCs w:val="24"/>
              </w:rPr>
            </w:pPr>
            <w:r>
              <w:rPr>
                <w:rFonts w:hint="eastAsia" w:ascii="宋体" w:hAnsi="宋体" w:eastAsia="宋体" w:cs="宋体"/>
                <w:color w:val="000000"/>
                <w:sz w:val="24"/>
                <w:szCs w:val="24"/>
              </w:rPr>
              <w:t>企业业绩（满分</w:t>
            </w:r>
            <w:r>
              <w:rPr>
                <w:rFonts w:hint="eastAsia" w:ascii="宋体" w:hAnsi="宋体" w:eastAsia="宋体" w:cs="宋体"/>
                <w:color w:val="000000"/>
                <w:sz w:val="24"/>
                <w:szCs w:val="24"/>
                <w:lang w:val="en-US" w:eastAsia="zh-CN"/>
              </w:rPr>
              <w:t>12</w:t>
            </w:r>
            <w:r>
              <w:rPr>
                <w:rFonts w:hint="eastAsia" w:ascii="宋体" w:hAnsi="宋体" w:eastAsia="宋体" w:cs="宋体"/>
                <w:color w:val="000000"/>
                <w:sz w:val="24"/>
                <w:szCs w:val="24"/>
              </w:rPr>
              <w:t>分）</w:t>
            </w:r>
          </w:p>
          <w:p>
            <w:pPr>
              <w:pStyle w:val="89"/>
              <w:spacing w:before="0" w:line="240" w:lineRule="auto"/>
              <w:ind w:firstLine="0" w:firstLineChars="0"/>
              <w:rPr>
                <w:rFonts w:ascii="宋体" w:hAnsi="宋体" w:cs="宋体"/>
                <w:color w:val="000000"/>
                <w:szCs w:val="24"/>
              </w:rPr>
            </w:pPr>
            <w:r>
              <w:rPr>
                <w:rFonts w:hint="eastAsia" w:ascii="宋体" w:hAnsi="宋体" w:eastAsia="宋体" w:cs="宋体"/>
                <w:sz w:val="24"/>
                <w:szCs w:val="24"/>
              </w:rPr>
              <w:t>2018年1</w:t>
            </w:r>
            <w:r>
              <w:rPr>
                <w:rFonts w:hint="eastAsia" w:ascii="宋体" w:hAnsi="宋体" w:eastAsia="宋体" w:cs="宋体"/>
                <w:color w:val="000000"/>
                <w:sz w:val="24"/>
                <w:szCs w:val="24"/>
              </w:rPr>
              <w:t>月1日以来企业从事过类似业绩的有一个得3分，最多得</w:t>
            </w:r>
            <w:r>
              <w:rPr>
                <w:rFonts w:hint="eastAsia" w:ascii="宋体" w:hAnsi="宋体" w:eastAsia="宋体" w:cs="宋体"/>
                <w:color w:val="000000"/>
                <w:sz w:val="24"/>
                <w:szCs w:val="24"/>
                <w:lang w:val="en-US" w:eastAsia="zh-CN"/>
              </w:rPr>
              <w:t>12</w:t>
            </w:r>
            <w:r>
              <w:rPr>
                <w:rFonts w:hint="eastAsia" w:ascii="宋体" w:hAnsi="宋体" w:eastAsia="宋体" w:cs="宋体"/>
                <w:color w:val="000000"/>
                <w:sz w:val="24"/>
                <w:szCs w:val="24"/>
              </w:rPr>
              <w:t>分；（需提供合同原件备查，时间、金额以合同为准，提供的证明材料必须能反映出相关数据和内容，否则视为未提供）。</w:t>
            </w:r>
          </w:p>
        </w:tc>
        <w:tc>
          <w:tcPr>
            <w:tcW w:w="708" w:type="dxa"/>
            <w:vAlign w:val="center"/>
          </w:tcPr>
          <w:p>
            <w:pPr>
              <w:pStyle w:val="89"/>
              <w:spacing w:line="240" w:lineRule="auto"/>
              <w:ind w:firstLine="0" w:firstLineChars="0"/>
              <w:rPr>
                <w:rFonts w:ascii="宋体" w:hAnsi="宋体" w:cs="宋体"/>
                <w:color w:val="000000"/>
                <w:kern w:val="0"/>
                <w:szCs w:val="24"/>
              </w:rPr>
            </w:pPr>
            <w:r>
              <w:rPr>
                <w:rFonts w:hint="eastAsia" w:ascii="宋体" w:hAnsi="宋体" w:cs="宋体"/>
                <w:color w:val="000000"/>
                <w:szCs w:val="24"/>
                <w:lang w:val="en-US" w:eastAsia="zh-CN"/>
              </w:rPr>
              <w:t>12</w:t>
            </w:r>
            <w:r>
              <w:rPr>
                <w:rFonts w:hint="eastAsia" w:ascii="宋体" w:hAnsi="宋体" w:cs="宋体"/>
                <w:color w:val="000000"/>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服务承诺（</w:t>
            </w:r>
            <w:r>
              <w:rPr>
                <w:rFonts w:hint="eastAsia" w:ascii="宋体" w:hAnsi="宋体" w:cs="宋体"/>
                <w:color w:val="000000"/>
                <w:sz w:val="24"/>
                <w:lang w:val="en-US" w:eastAsia="zh-CN"/>
              </w:rPr>
              <w:t>6</w:t>
            </w:r>
            <w:r>
              <w:rPr>
                <w:rFonts w:hint="eastAsia" w:ascii="宋体" w:hAnsi="宋体" w:cs="宋体"/>
                <w:color w:val="000000"/>
                <w:sz w:val="24"/>
              </w:rPr>
              <w:t>分）</w:t>
            </w:r>
          </w:p>
        </w:tc>
        <w:tc>
          <w:tcPr>
            <w:tcW w:w="7938" w:type="dxa"/>
            <w:shd w:val="clear" w:color="auto" w:fill="auto"/>
            <w:vAlign w:val="center"/>
          </w:tcPr>
          <w:p>
            <w:pPr>
              <w:rPr>
                <w:rFonts w:ascii="宋体" w:hAnsi="宋体" w:cs="宋体"/>
                <w:color w:val="000000"/>
                <w:sz w:val="24"/>
                <w:szCs w:val="24"/>
              </w:rPr>
            </w:pPr>
            <w:r>
              <w:rPr>
                <w:rFonts w:hint="eastAsia" w:ascii="宋体" w:hAnsi="宋体" w:cs="宋体"/>
                <w:sz w:val="24"/>
                <w:szCs w:val="24"/>
              </w:rPr>
              <w:t>提供其他利于项目实施的承诺，根据实施承诺综合打分，实施承诺最完整、具体、可行性高得6分；实施承诺较完整、具体、可行性高得3分；实施承诺较少、模糊、可行性较差得1分；不提供不得分。</w:t>
            </w:r>
          </w:p>
        </w:tc>
        <w:tc>
          <w:tcPr>
            <w:tcW w:w="708" w:type="dxa"/>
            <w:vAlign w:val="center"/>
          </w:tcPr>
          <w:p>
            <w:pPr>
              <w:widowControl/>
              <w:jc w:val="center"/>
              <w:rPr>
                <w:rFonts w:ascii="宋体" w:hAnsi="宋体" w:cs="宋体"/>
                <w:color w:val="000000"/>
                <w:sz w:val="24"/>
                <w:szCs w:val="24"/>
              </w:rPr>
            </w:pPr>
            <w:r>
              <w:rPr>
                <w:rFonts w:hint="eastAsia" w:ascii="宋体" w:hAnsi="宋体" w:cs="宋体"/>
                <w:color w:val="000000"/>
                <w:sz w:val="24"/>
                <w:szCs w:val="24"/>
                <w:lang w:val="en-US" w:eastAsia="zh-CN"/>
              </w:rPr>
              <w:t>6</w:t>
            </w:r>
            <w:r>
              <w:rPr>
                <w:rFonts w:hint="eastAsia" w:ascii="宋体" w:hAnsi="宋体" w:cs="宋体"/>
                <w:color w:val="00000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对招标文件的响应程度（</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rPr>
              <w:tab/>
            </w:r>
          </w:p>
        </w:tc>
        <w:tc>
          <w:tcPr>
            <w:tcW w:w="7938" w:type="dxa"/>
            <w:shd w:val="clear" w:color="auto" w:fill="auto"/>
            <w:vAlign w:val="center"/>
          </w:tcPr>
          <w:p>
            <w:pPr>
              <w:rPr>
                <w:rFonts w:ascii="宋体" w:hAnsi="宋体" w:cs="宋体"/>
                <w:color w:val="000000"/>
                <w:sz w:val="24"/>
                <w:szCs w:val="24"/>
              </w:rPr>
            </w:pPr>
            <w:r>
              <w:rPr>
                <w:rFonts w:hint="eastAsia" w:ascii="宋体" w:hAnsi="宋体" w:cs="宋体"/>
                <w:sz w:val="24"/>
                <w:szCs w:val="24"/>
              </w:rPr>
              <w:t>根据投标文件对招标文件的响应程度评分，按招标文件要求</w:t>
            </w:r>
            <w:r>
              <w:rPr>
                <w:rFonts w:hint="eastAsia" w:ascii="宋体" w:hAnsi="宋体"/>
                <w:sz w:val="24"/>
                <w:szCs w:val="24"/>
              </w:rPr>
              <w:t>编制完整、格式规范、内容齐全、表述准确、条理清晰，内容无前后矛盾得</w:t>
            </w:r>
            <w:r>
              <w:rPr>
                <w:rFonts w:hint="eastAsia" w:ascii="宋体" w:hAnsi="宋体"/>
                <w:sz w:val="24"/>
                <w:szCs w:val="24"/>
                <w:lang w:val="en-US" w:eastAsia="zh-CN"/>
              </w:rPr>
              <w:t>3</w:t>
            </w:r>
            <w:r>
              <w:rPr>
                <w:rFonts w:hint="eastAsia" w:ascii="宋体" w:hAnsi="宋体"/>
                <w:sz w:val="24"/>
                <w:szCs w:val="24"/>
              </w:rPr>
              <w:t>分</w:t>
            </w:r>
            <w:r>
              <w:rPr>
                <w:rFonts w:hint="eastAsia" w:ascii="宋体" w:hAnsi="宋体" w:cs="宋体"/>
                <w:sz w:val="24"/>
                <w:szCs w:val="24"/>
              </w:rPr>
              <w:t>；按招标文件要求</w:t>
            </w:r>
            <w:r>
              <w:rPr>
                <w:rFonts w:hint="eastAsia" w:ascii="宋体" w:hAnsi="宋体"/>
                <w:sz w:val="24"/>
                <w:szCs w:val="24"/>
              </w:rPr>
              <w:t>编制较完整、内容较齐全、表述较准确、条理清晰，内容无前后矛盾得</w:t>
            </w:r>
            <w:r>
              <w:rPr>
                <w:rFonts w:hint="eastAsia" w:ascii="宋体" w:hAnsi="宋体"/>
                <w:sz w:val="24"/>
                <w:szCs w:val="24"/>
                <w:lang w:val="en-US" w:eastAsia="zh-CN"/>
              </w:rPr>
              <w:t>2</w:t>
            </w:r>
            <w:r>
              <w:rPr>
                <w:rFonts w:hint="eastAsia" w:ascii="宋体" w:hAnsi="宋体"/>
                <w:sz w:val="24"/>
                <w:szCs w:val="24"/>
              </w:rPr>
              <w:t>分，编制凌乱、格式不规范、内容缺失、表述不太准确、，内容有前后矛盾得1分；不提供不得</w:t>
            </w:r>
          </w:p>
        </w:tc>
        <w:tc>
          <w:tcPr>
            <w:tcW w:w="708" w:type="dxa"/>
            <w:vAlign w:val="center"/>
          </w:tcPr>
          <w:p>
            <w:pPr>
              <w:widowControl/>
              <w:jc w:val="center"/>
              <w:rPr>
                <w:rFonts w:ascii="宋体" w:hAnsi="宋体" w:cs="宋体"/>
                <w:color w:val="000000"/>
                <w:sz w:val="24"/>
                <w:szCs w:val="24"/>
              </w:rPr>
            </w:pPr>
            <w:r>
              <w:rPr>
                <w:rFonts w:hint="eastAsia" w:ascii="宋体" w:hAnsi="宋体" w:cs="宋体"/>
                <w:color w:val="000000"/>
                <w:sz w:val="24"/>
                <w:szCs w:val="24"/>
                <w:lang w:val="en-US" w:eastAsia="zh-CN"/>
              </w:rPr>
              <w:t>3</w:t>
            </w:r>
            <w:r>
              <w:rPr>
                <w:rFonts w:hint="eastAsia" w:ascii="宋体" w:hAnsi="宋体" w:cs="宋体"/>
                <w:color w:val="000000"/>
                <w:sz w:val="24"/>
                <w:szCs w:val="24"/>
              </w:rPr>
              <w:t>分</w:t>
            </w:r>
          </w:p>
        </w:tc>
      </w:tr>
    </w:tbl>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备注：1、投标人应提供以上条款中涉及的全部资料的复印件并加盖单位公章。</w:t>
      </w:r>
    </w:p>
    <w:p>
      <w:pPr>
        <w:spacing w:after="156" w:line="280" w:lineRule="exact"/>
        <w:ind w:left="718" w:leftChars="342" w:firstLine="0" w:firstLineChars="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2、评标委员会成员按照上述评分细则进行评审、打分，项目实施方案由评委各自独立打分，所有评委打分的平均值即为该投标人该项的得分。</w:t>
      </w: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ascii="楷体" w:hAnsi="楷体" w:eastAsia="楷体" w:cs="楷体"/>
        </w:rPr>
      </w:pPr>
      <w:r>
        <w:rPr>
          <w:rFonts w:hint="eastAsia" w:ascii="楷体" w:hAnsi="楷体" w:eastAsia="楷体" w:cs="楷体"/>
        </w:rPr>
        <w:t>第五章  磋商响应文件格式</w:t>
      </w:r>
      <w:bookmarkEnd w:id="74"/>
    </w:p>
    <w:bookmarkEnd w:id="55"/>
    <w:bookmarkEnd w:id="56"/>
    <w:bookmarkEnd w:id="57"/>
    <w:bookmarkEnd w:id="65"/>
    <w:bookmarkEnd w:id="66"/>
    <w:bookmarkEnd w:id="67"/>
    <w:p>
      <w:pPr>
        <w:jc w:val="center"/>
        <w:rPr>
          <w:rFonts w:ascii="楷体" w:hAnsi="楷体" w:eastAsia="楷体" w:cs="楷体"/>
          <w:b/>
          <w:bCs/>
          <w:sz w:val="72"/>
          <w:szCs w:val="72"/>
        </w:rPr>
      </w:pPr>
      <w:bookmarkStart w:id="75" w:name="_Toc49090576"/>
      <w:bookmarkStart w:id="76" w:name="_Toc120614282"/>
      <w:bookmarkStart w:id="77" w:name="_Toc26554094"/>
    </w:p>
    <w:p>
      <w:pPr>
        <w:jc w:val="center"/>
        <w:rPr>
          <w:rFonts w:ascii="楷体" w:hAnsi="楷体" w:eastAsia="楷体" w:cs="楷体"/>
          <w:b/>
          <w:bCs/>
          <w:sz w:val="72"/>
          <w:szCs w:val="72"/>
        </w:rPr>
      </w:pPr>
    </w:p>
    <w:p>
      <w:pPr>
        <w:jc w:val="center"/>
        <w:rPr>
          <w:rFonts w:ascii="楷体" w:hAnsi="楷体" w:eastAsia="楷体" w:cs="楷体"/>
          <w:b/>
          <w:bCs/>
          <w:sz w:val="96"/>
          <w:szCs w:val="96"/>
        </w:rPr>
      </w:pPr>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ind w:left="1923" w:leftChars="304" w:hanging="1285" w:hangingChars="400"/>
        <w:rPr>
          <w:rFonts w:hint="eastAsia" w:ascii="楷体" w:hAnsi="楷体" w:eastAsia="楷体" w:cs="楷体"/>
          <w:b/>
          <w:bCs/>
          <w:sz w:val="32"/>
          <w:szCs w:val="36"/>
          <w:lang w:eastAsia="zh-CN"/>
        </w:rPr>
      </w:pPr>
      <w:r>
        <w:rPr>
          <w:rFonts w:hint="eastAsia" w:ascii="楷体" w:hAnsi="楷体" w:eastAsia="楷体" w:cs="楷体"/>
          <w:b/>
          <w:bCs/>
          <w:sz w:val="32"/>
          <w:szCs w:val="36"/>
        </w:rPr>
        <w:t>项目名称：南京交通职业技术学院</w:t>
      </w:r>
      <w:r>
        <w:rPr>
          <w:rFonts w:hint="eastAsia" w:ascii="楷体" w:hAnsi="楷体" w:eastAsia="楷体" w:cs="楷体"/>
          <w:b/>
          <w:bCs/>
          <w:sz w:val="32"/>
          <w:szCs w:val="36"/>
          <w:lang w:eastAsia="zh-CN"/>
        </w:rPr>
        <w:t>食堂燃气炉灶集中更换工程采购</w:t>
      </w:r>
    </w:p>
    <w:p>
      <w:pPr>
        <w:ind w:left="1923" w:leftChars="304" w:hanging="1285" w:hangingChars="400"/>
        <w:rPr>
          <w:rFonts w:hint="default" w:ascii="楷体" w:hAnsi="楷体" w:eastAsia="楷体" w:cs="楷体"/>
          <w:b/>
          <w:bCs/>
          <w:color w:val="FF0000"/>
          <w:sz w:val="32"/>
          <w:szCs w:val="36"/>
          <w:lang w:val="en-US"/>
        </w:rPr>
      </w:pPr>
      <w:r>
        <w:rPr>
          <w:rFonts w:hint="eastAsia" w:ascii="楷体" w:hAnsi="楷体" w:eastAsia="楷体" w:cs="楷体"/>
          <w:b/>
          <w:bCs/>
          <w:sz w:val="32"/>
          <w:szCs w:val="36"/>
        </w:rPr>
        <w:t>项目编号：</w:t>
      </w:r>
      <w:r>
        <w:rPr>
          <w:rFonts w:hint="eastAsia" w:ascii="楷体" w:hAnsi="楷体" w:eastAsia="楷体" w:cs="楷体"/>
          <w:b/>
          <w:bCs/>
          <w:sz w:val="32"/>
          <w:szCs w:val="36"/>
          <w:lang w:eastAsia="zh-CN"/>
        </w:rPr>
        <w:t>JY20210</w:t>
      </w:r>
      <w:r>
        <w:rPr>
          <w:rFonts w:hint="eastAsia" w:ascii="楷体" w:hAnsi="楷体" w:eastAsia="楷体" w:cs="楷体"/>
          <w:b/>
          <w:bCs/>
          <w:sz w:val="32"/>
          <w:szCs w:val="36"/>
          <w:lang w:val="en-US" w:eastAsia="zh-CN"/>
        </w:rPr>
        <w:t>89</w:t>
      </w:r>
    </w:p>
    <w:p>
      <w:pPr>
        <w:rPr>
          <w:rFonts w:ascii="楷体" w:hAnsi="楷体" w:eastAsia="楷体" w:cs="楷体"/>
          <w:b/>
          <w:bCs/>
          <w:sz w:val="32"/>
          <w:szCs w:val="36"/>
        </w:rPr>
      </w:pPr>
    </w:p>
    <w:p>
      <w:pPr>
        <w:pStyle w:val="2"/>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w:t>
            </w:r>
            <w:r>
              <w:rPr>
                <w:rFonts w:hint="eastAsia" w:ascii="楷体" w:hAnsi="楷体" w:eastAsia="楷体" w:cs="楷体"/>
                <w:b/>
                <w:i/>
                <w:sz w:val="24"/>
                <w:szCs w:val="24"/>
                <w:u w:val="single"/>
                <w:lang w:val="en-US" w:eastAsia="zh-CN"/>
              </w:rPr>
              <w:t>20</w:t>
            </w:r>
            <w:r>
              <w:rPr>
                <w:rFonts w:hint="eastAsia" w:ascii="楷体" w:hAnsi="楷体" w:eastAsia="楷体" w:cs="楷体"/>
                <w:b/>
                <w:i/>
                <w:sz w:val="24"/>
                <w:szCs w:val="24"/>
                <w:u w:val="single"/>
              </w:rPr>
              <w:t>年度的财务</w:t>
            </w:r>
            <w:r>
              <w:rPr>
                <w:rFonts w:hint="eastAsia" w:ascii="楷体" w:hAnsi="楷体" w:eastAsia="楷体" w:cs="楷体"/>
                <w:b/>
                <w:i/>
                <w:sz w:val="24"/>
                <w:szCs w:val="24"/>
                <w:u w:val="single"/>
                <w:lang w:eastAsia="zh-CN"/>
              </w:rPr>
              <w:t>审计</w:t>
            </w:r>
            <w:r>
              <w:rPr>
                <w:rFonts w:hint="eastAsia" w:ascii="楷体" w:hAnsi="楷体" w:eastAsia="楷体" w:cs="楷体"/>
                <w:b/>
                <w:i/>
                <w:sz w:val="24"/>
                <w:szCs w:val="24"/>
                <w:u w:val="single"/>
              </w:rPr>
              <w:t>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lang w:eastAsia="zh-CN"/>
              </w:rPr>
            </w:pPr>
            <w:r>
              <w:rPr>
                <w:rFonts w:hint="eastAsia" w:ascii="楷体" w:hAnsi="楷体" w:eastAsia="楷体" w:cs="楷体"/>
                <w:b/>
                <w:i/>
                <w:sz w:val="24"/>
                <w:szCs w:val="24"/>
                <w:u w:val="single"/>
                <w:lang w:eastAsia="zh-CN"/>
              </w:rPr>
              <w:t>其他承诺函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12</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13</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服务方案</w:t>
            </w: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78" w:name="_Toc449017027"/>
    </w:p>
    <w:bookmarkEnd w:id="58"/>
    <w:bookmarkEnd w:id="59"/>
    <w:bookmarkEnd w:id="75"/>
    <w:bookmarkEnd w:id="76"/>
    <w:bookmarkEnd w:id="77"/>
    <w:bookmarkEnd w:id="78"/>
    <w:p>
      <w:pPr>
        <w:pStyle w:val="40"/>
        <w:numPr>
          <w:ilvl w:val="0"/>
          <w:numId w:val="0"/>
        </w:numPr>
        <w:jc w:val="center"/>
        <w:rPr>
          <w:rFonts w:ascii="楷体" w:hAnsi="楷体" w:eastAsia="楷体" w:cs="楷体"/>
        </w:rPr>
      </w:pPr>
      <w:bookmarkStart w:id="79" w:name="_Toc14521"/>
      <w:bookmarkStart w:id="80" w:name="_Toc13734"/>
      <w:bookmarkStart w:id="81" w:name="_Toc25957"/>
      <w:bookmarkStart w:id="82" w:name="_Toc769"/>
      <w:r>
        <w:rPr>
          <w:rFonts w:hint="eastAsia" w:ascii="楷体" w:hAnsi="楷体" w:eastAsia="楷体" w:cs="楷体"/>
        </w:rPr>
        <w:t>一、磋商函</w:t>
      </w:r>
      <w:bookmarkEnd w:id="79"/>
      <w:bookmarkEnd w:id="80"/>
      <w:bookmarkEnd w:id="81"/>
      <w:bookmarkEnd w:id="82"/>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w:t>
      </w:r>
      <w:r>
        <w:rPr>
          <w:rFonts w:hint="eastAsia" w:ascii="楷体" w:hAnsi="楷体" w:eastAsia="楷体" w:cs="楷体"/>
          <w:b/>
          <w:bCs/>
          <w:sz w:val="24"/>
          <w:szCs w:val="24"/>
          <w:lang w:eastAsia="zh-CN"/>
        </w:rPr>
        <w:t>燃气炉灶集中更换工程采购项目</w:t>
      </w:r>
      <w:r>
        <w:rPr>
          <w:rFonts w:hint="eastAsia" w:ascii="楷体" w:hAnsi="楷体" w:eastAsia="楷体" w:cs="楷体"/>
          <w:b/>
          <w:bCs/>
          <w:sz w:val="24"/>
          <w:szCs w:val="24"/>
        </w:rPr>
        <w:t>（采购编号为：</w:t>
      </w:r>
      <w:r>
        <w:rPr>
          <w:rFonts w:hint="eastAsia" w:ascii="楷体" w:hAnsi="楷体" w:eastAsia="楷体" w:cs="楷体"/>
          <w:b/>
          <w:bCs/>
          <w:sz w:val="24"/>
          <w:szCs w:val="24"/>
          <w:lang w:eastAsia="zh-CN"/>
        </w:rPr>
        <w:t>JY20210</w:t>
      </w:r>
      <w:r>
        <w:rPr>
          <w:rFonts w:hint="eastAsia" w:ascii="楷体" w:hAnsi="楷体" w:eastAsia="楷体" w:cs="楷体"/>
          <w:b/>
          <w:bCs/>
          <w:sz w:val="24"/>
          <w:szCs w:val="24"/>
          <w:lang w:val="en-US" w:eastAsia="zh-CN"/>
        </w:rPr>
        <w:t>89</w:t>
      </w:r>
      <w:r>
        <w:rPr>
          <w:rFonts w:hint="eastAsia" w:ascii="楷体" w:hAnsi="楷体" w:eastAsia="楷体" w:cs="楷体"/>
          <w:sz w:val="24"/>
          <w:szCs w:val="24"/>
        </w:rPr>
        <w:t>）竞争性磋商文件（包括更正公告，如果有的话）收悉，我们经详细审阅和研究，现决定参加磋商。</w:t>
      </w:r>
    </w:p>
    <w:p>
      <w:pPr>
        <w:widowControl/>
        <w:snapToGrid w:val="0"/>
        <w:spacing w:before="19" w:line="500" w:lineRule="exact"/>
        <w:ind w:firstLine="480" w:firstLineChars="200"/>
        <w:rPr>
          <w:rFonts w:ascii="楷体" w:hAnsi="楷体" w:eastAsia="楷体" w:cs="楷体"/>
          <w:sz w:val="24"/>
          <w:szCs w:val="24"/>
        </w:rPr>
      </w:pPr>
      <w:r>
        <w:rPr>
          <w:rFonts w:hint="eastAsia" w:ascii="楷体" w:hAnsi="楷体" w:eastAsia="楷体" w:cs="楷体"/>
          <w:sz w:val="24"/>
          <w:szCs w:val="24"/>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2、我们接受竞争性磋商文件的所有的条款和规定。</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hint="eastAsia" w:ascii="楷体" w:hAnsi="楷体" w:eastAsia="楷体" w:cs="楷体"/>
          <w:sz w:val="24"/>
          <w:szCs w:val="24"/>
        </w:rPr>
      </w:pPr>
      <w:r>
        <w:rPr>
          <w:rFonts w:hint="eastAsia" w:ascii="楷体" w:hAnsi="楷体" w:eastAsia="楷体" w:cs="楷体"/>
          <w:sz w:val="24"/>
          <w:szCs w:val="24"/>
        </w:rPr>
        <w:t xml:space="preserve">日期：                  </w:t>
      </w:r>
      <w:bookmarkStart w:id="83" w:name="_Toc2237"/>
      <w:bookmarkStart w:id="84" w:name="_Toc27417"/>
    </w:p>
    <w:p>
      <w:pPr>
        <w:pStyle w:val="2"/>
        <w:rPr>
          <w:rFonts w:hint="eastAsia" w:eastAsia="楷体"/>
          <w:lang w:val="en-US" w:eastAsia="zh-CN"/>
        </w:rPr>
      </w:pPr>
      <w:r>
        <w:rPr>
          <w:rFonts w:hint="eastAsia" w:ascii="楷体" w:hAnsi="楷体" w:eastAsia="楷体" w:cs="楷体"/>
          <w:sz w:val="24"/>
          <w:szCs w:val="24"/>
          <w:lang w:val="en-US" w:eastAsia="zh-CN"/>
        </w:rPr>
        <w:t>.</w:t>
      </w:r>
    </w:p>
    <w:bookmarkEnd w:id="83"/>
    <w:bookmarkEnd w:id="84"/>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40"/>
        <w:numPr>
          <w:ilvl w:val="0"/>
          <w:numId w:val="0"/>
        </w:numPr>
        <w:jc w:val="center"/>
        <w:rPr>
          <w:rFonts w:hint="eastAsia" w:ascii="楷体" w:hAnsi="楷体" w:eastAsia="楷体" w:cs="楷体"/>
        </w:rPr>
      </w:pPr>
      <w:bookmarkStart w:id="85" w:name="_Toc4264"/>
      <w:bookmarkStart w:id="86" w:name="_Toc10933"/>
      <w:r>
        <w:rPr>
          <w:rFonts w:hint="eastAsia" w:ascii="楷体" w:hAnsi="楷体" w:eastAsia="楷体" w:cs="楷体"/>
        </w:rPr>
        <w:t>二、报价表</w:t>
      </w:r>
      <w:bookmarkEnd w:id="85"/>
      <w:bookmarkEnd w:id="86"/>
    </w:p>
    <w:p>
      <w:pPr>
        <w:pStyle w:val="2"/>
        <w:ind w:firstLine="210"/>
      </w:pPr>
    </w:p>
    <w:tbl>
      <w:tblPr>
        <w:tblStyle w:val="24"/>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5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806" w:type="dxa"/>
            <w:noWrap w:val="0"/>
            <w:vAlign w:val="center"/>
          </w:tcPr>
          <w:p>
            <w:pPr>
              <w:adjustRightInd w:val="0"/>
              <w:snapToGrid w:val="0"/>
              <w:jc w:val="left"/>
              <w:rPr>
                <w:rFonts w:hint="eastAsia" w:ascii="楷体" w:hAnsi="楷体" w:eastAsia="楷体" w:cs="楷体"/>
                <w:b/>
                <w:bCs/>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燃气炉灶集中更换工程采购项目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806" w:type="dxa"/>
            <w:noWrap w:val="0"/>
            <w:vAlign w:val="center"/>
          </w:tcPr>
          <w:p>
            <w:pPr>
              <w:adjustRightInd w:val="0"/>
              <w:snapToGrid w:val="0"/>
              <w:jc w:val="left"/>
              <w:rPr>
                <w:rFonts w:hint="default" w:ascii="楷体" w:hAnsi="楷体" w:eastAsia="楷体" w:cs="楷体"/>
                <w:sz w:val="24"/>
                <w:szCs w:val="24"/>
                <w:lang w:val="en-US" w:eastAsia="zh-CN"/>
              </w:rPr>
            </w:pPr>
            <w:r>
              <w:rPr>
                <w:rFonts w:hint="eastAsia" w:ascii="楷体" w:hAnsi="楷体" w:eastAsia="楷体" w:cs="楷体"/>
                <w:b/>
                <w:bCs/>
                <w:sz w:val="24"/>
                <w:szCs w:val="24"/>
                <w:lang w:eastAsia="zh-CN"/>
              </w:rPr>
              <w:t>JY20210</w:t>
            </w:r>
            <w:r>
              <w:rPr>
                <w:rFonts w:hint="eastAsia" w:ascii="楷体" w:hAnsi="楷体" w:eastAsia="楷体" w:cs="楷体"/>
                <w:b/>
                <w:bCs/>
                <w:sz w:val="24"/>
                <w:szCs w:val="24"/>
                <w:lang w:val="en-US" w:eastAsia="zh-CN"/>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2611"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806" w:type="dxa"/>
            <w:noWrap w:val="0"/>
            <w:vAlign w:val="bottom"/>
          </w:tcPr>
          <w:p>
            <w:pPr>
              <w:spacing w:line="440" w:lineRule="exact"/>
              <w:ind w:firstLine="480" w:firstLineChars="200"/>
              <w:jc w:val="left"/>
              <w:rPr>
                <w:rFonts w:hint="default" w:ascii="楷体" w:hAnsi="楷体" w:eastAsia="楷体" w:cs="楷体"/>
                <w:sz w:val="24"/>
                <w:szCs w:val="24"/>
                <w:lang w:val="en-US" w:eastAsia="zh-CN"/>
              </w:rPr>
            </w:pPr>
            <w:r>
              <w:rPr>
                <w:rFonts w:hint="eastAsia" w:ascii="楷体" w:hAnsi="楷体" w:eastAsia="楷体" w:cs="楷体"/>
                <w:snapToGrid w:val="0"/>
                <w:color w:val="auto"/>
                <w:kern w:val="0"/>
                <w:sz w:val="24"/>
                <w:szCs w:val="24"/>
                <w:u w:val="single"/>
              </w:rPr>
              <w:t xml:space="preserve">     </w:t>
            </w:r>
            <w:r>
              <w:rPr>
                <w:rFonts w:hint="eastAsia" w:ascii="楷体" w:hAnsi="楷体" w:eastAsia="楷体" w:cs="楷体"/>
                <w:snapToGrid w:val="0"/>
                <w:color w:val="auto"/>
                <w:kern w:val="0"/>
                <w:sz w:val="24"/>
                <w:szCs w:val="24"/>
                <w:u w:val="single"/>
                <w:lang w:val="en-US" w:eastAsia="zh-CN"/>
              </w:rPr>
              <w:t xml:space="preserve">      元</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87" w:name="_Toc6890"/>
      <w:bookmarkStart w:id="88" w:name="_Toc818"/>
      <w:bookmarkStart w:id="89" w:name="_Toc12366"/>
      <w:bookmarkStart w:id="90" w:name="_Toc5613"/>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tabs>
          <w:tab w:val="left" w:pos="142"/>
        </w:tabs>
        <w:spacing w:line="500" w:lineRule="exact"/>
        <w:jc w:val="left"/>
        <w:rPr>
          <w:rFonts w:ascii="仿宋" w:hAnsi="仿宋" w:eastAsia="仿宋" w:cs="仿宋"/>
          <w:color w:val="000000"/>
          <w:sz w:val="24"/>
        </w:rPr>
      </w:pPr>
      <w:r>
        <w:rPr>
          <w:rFonts w:hint="eastAsia" w:ascii="仿宋" w:hAnsi="仿宋" w:eastAsia="仿宋" w:cs="仿宋"/>
          <w:color w:val="000000"/>
          <w:sz w:val="24"/>
        </w:rPr>
        <w:t>注</w:t>
      </w:r>
      <w:r>
        <w:rPr>
          <w:rFonts w:ascii="仿宋" w:hAnsi="仿宋" w:eastAsia="仿宋" w:cs="仿宋"/>
          <w:color w:val="000000"/>
          <w:sz w:val="24"/>
        </w:rPr>
        <w:t>:</w:t>
      </w:r>
    </w:p>
    <w:p>
      <w:pPr>
        <w:spacing w:line="440" w:lineRule="exact"/>
        <w:ind w:firstLine="480" w:firstLineChars="200"/>
        <w:jc w:val="left"/>
        <w:rPr>
          <w:rFonts w:hint="eastAsia" w:ascii="仿宋" w:hAnsi="仿宋" w:eastAsia="仿宋" w:cs="仿宋"/>
          <w:color w:val="000000"/>
          <w:sz w:val="24"/>
          <w:lang w:eastAsia="zh-CN"/>
        </w:rPr>
      </w:pPr>
      <w:r>
        <w:rPr>
          <w:rFonts w:hint="eastAsia" w:ascii="仿宋" w:hAnsi="仿宋" w:eastAsia="仿宋" w:cs="仿宋"/>
          <w:color w:val="000000"/>
          <w:sz w:val="24"/>
          <w:lang w:eastAsia="zh-CN"/>
        </w:rPr>
        <w:t>（1）报价包含人工、材料、机械、运输费、安装、竣工资料、质保期内的保修服务费、保险、管理费、利润、</w:t>
      </w:r>
      <w:r>
        <w:rPr>
          <w:rFonts w:hint="eastAsia" w:ascii="仿宋" w:hAnsi="仿宋" w:eastAsia="仿宋" w:cs="仿宋"/>
          <w:color w:val="000000"/>
          <w:sz w:val="24"/>
          <w:lang w:val="en-US" w:eastAsia="zh-CN"/>
        </w:rPr>
        <w:t>税金、</w:t>
      </w:r>
      <w:r>
        <w:rPr>
          <w:rFonts w:hint="eastAsia" w:ascii="仿宋" w:hAnsi="仿宋" w:eastAsia="仿宋" w:cs="仿宋"/>
          <w:color w:val="000000"/>
          <w:sz w:val="24"/>
          <w:lang w:eastAsia="zh-CN"/>
        </w:rPr>
        <w:t>政策性文件规定及合同包含的所有风险、责任等及其它一切应有费用，结算时综合单价按本次报价执行，工程量按实结算。</w:t>
      </w:r>
    </w:p>
    <w:p>
      <w:pPr>
        <w:spacing w:line="440" w:lineRule="exact"/>
        <w:ind w:firstLine="480" w:firstLineChars="200"/>
        <w:jc w:val="left"/>
        <w:rPr>
          <w:rFonts w:hint="eastAsia" w:ascii="仿宋" w:hAnsi="仿宋" w:eastAsia="仿宋" w:cs="仿宋"/>
          <w:color w:val="000000"/>
          <w:sz w:val="24"/>
          <w:lang w:val="zh-CN" w:eastAsia="zh-CN"/>
        </w:rPr>
      </w:pPr>
      <w:r>
        <w:rPr>
          <w:rFonts w:hint="eastAsia" w:ascii="仿宋" w:hAnsi="仿宋" w:eastAsia="仿宋" w:cs="仿宋"/>
          <w:color w:val="000000"/>
          <w:sz w:val="24"/>
          <w:lang w:val="zh-CN" w:eastAsia="zh-CN"/>
        </w:rPr>
        <w:t>（</w:t>
      </w:r>
      <w:r>
        <w:rPr>
          <w:rFonts w:hint="eastAsia" w:ascii="仿宋" w:hAnsi="仿宋" w:eastAsia="仿宋" w:cs="仿宋"/>
          <w:color w:val="000000"/>
          <w:sz w:val="24"/>
          <w:lang w:eastAsia="zh-CN"/>
        </w:rPr>
        <w:t>2</w:t>
      </w:r>
      <w:r>
        <w:rPr>
          <w:rFonts w:hint="eastAsia" w:ascii="仿宋" w:hAnsi="仿宋" w:eastAsia="仿宋" w:cs="仿宋"/>
          <w:color w:val="000000"/>
          <w:sz w:val="24"/>
          <w:lang w:val="zh-CN" w:eastAsia="zh-CN"/>
        </w:rPr>
        <w:t>）</w:t>
      </w:r>
      <w:r>
        <w:rPr>
          <w:rFonts w:hint="eastAsia" w:ascii="仿宋" w:hAnsi="仿宋" w:eastAsia="仿宋" w:cs="仿宋"/>
          <w:color w:val="000000"/>
          <w:sz w:val="24"/>
          <w:lang w:eastAsia="zh-CN"/>
        </w:rPr>
        <w:t>相应</w:t>
      </w:r>
      <w:r>
        <w:rPr>
          <w:rFonts w:hint="eastAsia" w:ascii="仿宋" w:hAnsi="仿宋" w:eastAsia="仿宋" w:cs="仿宋"/>
          <w:color w:val="000000"/>
          <w:sz w:val="24"/>
          <w:lang w:val="zh-CN" w:eastAsia="zh-CN"/>
        </w:rPr>
        <w:t>商不得实质性改动开标一览表格式及内容。</w:t>
      </w:r>
      <w:bookmarkStart w:id="91" w:name="_Toc14915"/>
    </w:p>
    <w:p>
      <w:pPr>
        <w:spacing w:line="440" w:lineRule="exact"/>
        <w:ind w:firstLine="480" w:firstLineChars="200"/>
        <w:jc w:val="left"/>
        <w:rPr>
          <w:rFonts w:hint="eastAsia" w:ascii="仿宋" w:hAnsi="仿宋" w:eastAsia="仿宋" w:cs="仿宋"/>
          <w:color w:val="000000"/>
          <w:sz w:val="24"/>
          <w:lang w:eastAsia="zh-CN"/>
        </w:rPr>
      </w:pPr>
    </w:p>
    <w:bookmarkEnd w:id="91"/>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40"/>
        <w:numPr>
          <w:ilvl w:val="0"/>
          <w:numId w:val="0"/>
        </w:numPr>
        <w:jc w:val="center"/>
        <w:outlineLvl w:val="9"/>
        <w:rPr>
          <w:rFonts w:hint="eastAsia" w:ascii="楷体" w:hAnsi="楷体" w:eastAsia="楷体" w:cs="楷体"/>
        </w:rPr>
      </w:pPr>
    </w:p>
    <w:bookmarkEnd w:id="87"/>
    <w:p>
      <w:pPr>
        <w:pStyle w:val="40"/>
        <w:numPr>
          <w:ilvl w:val="0"/>
          <w:numId w:val="0"/>
        </w:numPr>
        <w:jc w:val="center"/>
        <w:rPr>
          <w:rFonts w:hint="eastAsia" w:ascii="楷体" w:hAnsi="楷体" w:eastAsia="楷体" w:cs="楷体"/>
        </w:rPr>
      </w:pPr>
      <w:bookmarkStart w:id="92" w:name="_Toc32133"/>
      <w:bookmarkStart w:id="93" w:name="_Toc8031"/>
      <w:bookmarkStart w:id="94" w:name="_Toc690"/>
      <w:bookmarkStart w:id="95" w:name="_Toc1752"/>
      <w:bookmarkStart w:id="96" w:name="_Toc351733250"/>
      <w:bookmarkStart w:id="97" w:name="_Toc16074"/>
      <w:bookmarkStart w:id="98" w:name="_Toc365968485"/>
      <w:bookmarkStart w:id="99" w:name="_Toc448482858"/>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r>
        <w:rPr>
          <w:rFonts w:hint="eastAsia" w:ascii="楷体" w:hAnsi="楷体" w:eastAsia="楷体" w:cs="楷体"/>
        </w:rPr>
        <w:t>三、服务要求响应表</w:t>
      </w:r>
      <w:bookmarkEnd w:id="92"/>
      <w:bookmarkEnd w:id="93"/>
      <w:bookmarkEnd w:id="94"/>
      <w:bookmarkEnd w:id="95"/>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40"/>
        <w:numPr>
          <w:ilvl w:val="0"/>
          <w:numId w:val="0"/>
        </w:numPr>
        <w:jc w:val="center"/>
        <w:rPr>
          <w:rFonts w:hint="eastAsia" w:ascii="楷体" w:hAnsi="楷体" w:eastAsia="楷体" w:cs="楷体"/>
        </w:rPr>
      </w:pPr>
      <w:bookmarkStart w:id="100" w:name="_Toc27516"/>
      <w:bookmarkStart w:id="101" w:name="_Toc15328"/>
      <w:r>
        <w:rPr>
          <w:rFonts w:hint="eastAsia" w:ascii="楷体" w:hAnsi="楷体" w:eastAsia="楷体" w:cs="楷体"/>
        </w:rPr>
        <w:t>四、服务方案</w:t>
      </w:r>
      <w:bookmarkEnd w:id="100"/>
      <w:bookmarkEnd w:id="101"/>
    </w:p>
    <w:p>
      <w:pPr>
        <w:jc w:val="center"/>
        <w:rPr>
          <w:rFonts w:hint="eastAsia" w:ascii="楷体" w:hAnsi="楷体" w:eastAsia="楷体" w:cs="楷体"/>
          <w:b/>
          <w:sz w:val="24"/>
        </w:rPr>
      </w:pPr>
      <w:r>
        <w:rPr>
          <w:rFonts w:hint="eastAsia" w:ascii="楷体" w:hAnsi="楷体" w:eastAsia="楷体" w:cs="楷体"/>
          <w:b/>
          <w:sz w:val="24"/>
        </w:rPr>
        <w:t>（格式自定）</w:t>
      </w:r>
    </w:p>
    <w:bookmarkEnd w:id="96"/>
    <w:bookmarkEnd w:id="97"/>
    <w:bookmarkEnd w:id="98"/>
    <w:bookmarkEnd w:id="99"/>
    <w:p>
      <w:pPr>
        <w:pStyle w:val="40"/>
        <w:numPr>
          <w:ilvl w:val="0"/>
          <w:numId w:val="0"/>
        </w:numPr>
        <w:jc w:val="center"/>
        <w:rPr>
          <w:rFonts w:hint="eastAsia" w:ascii="楷体" w:hAnsi="楷体" w:eastAsia="楷体" w:cs="楷体"/>
        </w:rPr>
      </w:pPr>
      <w:bookmarkStart w:id="102" w:name="_Toc25230"/>
      <w:bookmarkStart w:id="103" w:name="_Toc32325"/>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bookmarkEnd w:id="102"/>
    <w:bookmarkEnd w:id="103"/>
    <w:p>
      <w:pPr>
        <w:pStyle w:val="40"/>
        <w:numPr>
          <w:ilvl w:val="0"/>
          <w:numId w:val="0"/>
        </w:numPr>
        <w:jc w:val="center"/>
        <w:rPr>
          <w:rFonts w:hint="eastAsia" w:ascii="楷体" w:hAnsi="楷体" w:eastAsia="楷体" w:cs="楷体"/>
        </w:rPr>
      </w:pPr>
      <w:bookmarkStart w:id="104" w:name="_Toc26771"/>
      <w:bookmarkStart w:id="105" w:name="_Toc25699"/>
      <w:bookmarkStart w:id="106" w:name="_Toc407"/>
      <w:bookmarkStart w:id="107" w:name="_Toc5890"/>
      <w:r>
        <w:rPr>
          <w:rFonts w:hint="eastAsia" w:ascii="楷体" w:hAnsi="楷体" w:eastAsia="楷体" w:cs="楷体"/>
        </w:rPr>
        <w:t>五、企业资质</w:t>
      </w:r>
      <w:bookmarkEnd w:id="104"/>
      <w:bookmarkEnd w:id="105"/>
      <w:bookmarkEnd w:id="106"/>
      <w:bookmarkEnd w:id="107"/>
    </w:p>
    <w:p>
      <w:pPr>
        <w:jc w:val="center"/>
        <w:rPr>
          <w:rFonts w:ascii="仿宋" w:hAnsi="仿宋" w:eastAsia="仿宋" w:cs="宋体"/>
          <w:b/>
          <w:color w:val="000000"/>
          <w:kern w:val="0"/>
          <w:sz w:val="24"/>
          <w:szCs w:val="24"/>
        </w:rPr>
      </w:pP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rPr>
          <w:rFonts w:hint="eastAsia"/>
        </w:rPr>
      </w:pPr>
    </w:p>
    <w:p>
      <w:pPr>
        <w:pStyle w:val="40"/>
        <w:numPr>
          <w:ilvl w:val="0"/>
          <w:numId w:val="0"/>
        </w:numPr>
        <w:rPr>
          <w:rFonts w:hint="eastAsia" w:ascii="楷体" w:hAnsi="楷体" w:eastAsia="楷体" w:cs="楷体"/>
        </w:rPr>
      </w:pPr>
    </w:p>
    <w:p>
      <w:pPr>
        <w:pStyle w:val="40"/>
        <w:numPr>
          <w:ilvl w:val="0"/>
          <w:numId w:val="4"/>
        </w:numPr>
        <w:jc w:val="center"/>
        <w:rPr>
          <w:rFonts w:ascii="黑体" w:hAnsi="Arial" w:eastAsia="黑体" w:cs="Arial"/>
          <w:color w:val="000000" w:themeColor="text1"/>
          <w:sz w:val="36"/>
          <w:szCs w:val="36"/>
          <w:lang w:val="zh-CN"/>
          <w14:textFill>
            <w14:solidFill>
              <w14:schemeClr w14:val="tx1"/>
            </w14:solidFill>
          </w14:textFill>
        </w:rPr>
      </w:pPr>
      <w:bookmarkStart w:id="108" w:name="_Toc32418"/>
      <w:bookmarkStart w:id="109" w:name="_Toc20453"/>
      <w:r>
        <w:rPr>
          <w:rFonts w:hint="eastAsia" w:ascii="楷体" w:hAnsi="楷体" w:eastAsia="楷体" w:cs="楷体"/>
          <w:b/>
          <w:bCs/>
          <w:lang w:val="en-US" w:eastAsia="zh-CN"/>
        </w:rPr>
        <w:t>合同条款及格式</w:t>
      </w:r>
      <w:bookmarkEnd w:id="108"/>
    </w:p>
    <w:p>
      <w:pPr>
        <w:rPr>
          <w:rFonts w:ascii="宋体" w:hAnsi="宋体" w:cs="宋体"/>
          <w:color w:val="000000" w:themeColor="text1"/>
          <w:szCs w:val="21"/>
          <w14:textFill>
            <w14:solidFill>
              <w14:schemeClr w14:val="tx1"/>
            </w14:solidFill>
          </w14:textFill>
        </w:rPr>
      </w:pPr>
    </w:p>
    <w:p>
      <w:pPr>
        <w:spacing w:line="360" w:lineRule="auto"/>
        <w:jc w:val="center"/>
        <w:rPr>
          <w:rFonts w:hint="eastAsia" w:ascii="方正小标宋_GBK" w:eastAsia="方正小标宋_GBK"/>
          <w:sz w:val="44"/>
          <w:szCs w:val="44"/>
          <w:u w:val="single"/>
        </w:rPr>
      </w:pPr>
      <w:r>
        <w:rPr>
          <w:rFonts w:hint="eastAsia" w:ascii="方正小标宋_GBK" w:eastAsia="方正小标宋_GBK"/>
          <w:sz w:val="44"/>
          <w:szCs w:val="44"/>
          <w:u w:val="single"/>
        </w:rPr>
        <w:t>建设工程施工合同</w:t>
      </w:r>
    </w:p>
    <w:p>
      <w:pPr>
        <w:spacing w:line="360" w:lineRule="auto"/>
        <w:jc w:val="center"/>
        <w:rPr>
          <w:rFonts w:hint="eastAsia" w:ascii="仿宋_GB2312" w:eastAsia="仿宋_GB2312"/>
          <w:b/>
          <w:sz w:val="24"/>
        </w:rPr>
      </w:pPr>
      <w:r>
        <w:rPr>
          <w:rFonts w:hint="eastAsia" w:ascii="仿宋_GB2312" w:eastAsia="仿宋_GB2312"/>
          <w:b/>
          <w:sz w:val="24"/>
        </w:rPr>
        <w:t>合同编号：</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第一部分　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发包人（全称）：</w:t>
      </w:r>
      <w:r>
        <w:rPr>
          <w:rFonts w:hint="eastAsia" w:ascii="宋体" w:hAnsi="宋体" w:cs="宋体"/>
          <w:color w:val="000000"/>
          <w:kern w:val="0"/>
          <w:sz w:val="24"/>
          <w:u w:val="single"/>
        </w:rPr>
        <w:t xml:space="preserve">南京交通职业技术学院    </w:t>
      </w:r>
    </w:p>
    <w:p>
      <w:pPr>
        <w:widowControl/>
        <w:shd w:val="clear" w:color="auto" w:fill="FFFFFF"/>
        <w:spacing w:line="330" w:lineRule="atLeast"/>
        <w:jc w:val="left"/>
        <w:rPr>
          <w:rFonts w:ascii="宋体" w:hAnsi="宋体" w:cs="宋体"/>
          <w:color w:val="000000"/>
          <w:kern w:val="0"/>
          <w:sz w:val="24"/>
          <w:u w:val="single"/>
        </w:rPr>
      </w:pPr>
      <w:r>
        <w:rPr>
          <w:rFonts w:ascii="宋体" w:hAnsi="宋体" w:cs="宋体"/>
          <w:color w:val="000000"/>
          <w:kern w:val="0"/>
          <w:sz w:val="24"/>
        </w:rPr>
        <w:t>　　承包人（全称）：</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依照《中华人民共和国合同法》、《中华人民共和国建筑法》及其他有关法律、行政法规，遵循平等、自愿、公平和诚实信用的原则，双方就本建设工程施工事项协商一致，订立本合同。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一、工程概况</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工程名称：</w:t>
      </w:r>
    </w:p>
    <w:p>
      <w:pPr>
        <w:widowControl/>
        <w:shd w:val="clear" w:color="auto" w:fill="FFFFFF"/>
        <w:spacing w:line="330" w:lineRule="atLeast"/>
        <w:ind w:firstLine="465"/>
        <w:jc w:val="left"/>
        <w:rPr>
          <w:rFonts w:hint="eastAsia" w:ascii="宋体" w:hAnsi="宋体" w:cs="宋体"/>
          <w:color w:val="000000"/>
          <w:kern w:val="0"/>
          <w:sz w:val="24"/>
        </w:rPr>
      </w:pPr>
      <w:r>
        <w:rPr>
          <w:rFonts w:ascii="宋体" w:hAnsi="宋体" w:cs="宋体"/>
          <w:color w:val="000000"/>
          <w:kern w:val="0"/>
          <w:sz w:val="24"/>
        </w:rPr>
        <w:t>工程地点：</w:t>
      </w:r>
      <w:r>
        <w:rPr>
          <w:rFonts w:hint="eastAsia" w:ascii="微软雅黑" w:hAnsi="微软雅黑"/>
          <w:color w:val="222222"/>
        </w:rPr>
        <w:t>南京交通职业技术学院内</w:t>
      </w:r>
    </w:p>
    <w:p>
      <w:pPr>
        <w:widowControl/>
        <w:shd w:val="clear" w:color="auto" w:fill="FFFFFF"/>
        <w:spacing w:line="330" w:lineRule="atLeast"/>
        <w:ind w:firstLine="465"/>
        <w:jc w:val="left"/>
        <w:rPr>
          <w:rFonts w:ascii="宋体" w:hAnsi="宋体" w:cs="宋体"/>
          <w:color w:val="000000"/>
          <w:kern w:val="0"/>
          <w:sz w:val="24"/>
        </w:rPr>
      </w:pPr>
      <w:r>
        <w:rPr>
          <w:rFonts w:ascii="宋体" w:hAnsi="宋体" w:cs="宋体"/>
          <w:color w:val="000000"/>
          <w:kern w:val="0"/>
          <w:sz w:val="24"/>
        </w:rPr>
        <w:t>工程内容：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群体工程应附承包人承揽工程项目一览表（附件1）</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工程立项批准文号：＿＿＿＿＿＿＿</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资金来源：</w:t>
      </w:r>
      <w:r>
        <w:rPr>
          <w:rFonts w:hint="eastAsia" w:ascii="宋体" w:hAnsi="宋体" w:cs="宋体"/>
          <w:color w:val="000000"/>
          <w:kern w:val="0"/>
          <w:sz w:val="24"/>
        </w:rPr>
        <w:t>自筹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二、工程承包范围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承包范围：</w:t>
      </w:r>
      <w:r>
        <w:rPr>
          <w:rFonts w:hint="eastAsia" w:ascii="宋体" w:hAnsi="宋体" w:cs="宋体"/>
          <w:color w:val="000000"/>
          <w:kern w:val="0"/>
          <w:sz w:val="24"/>
        </w:rPr>
        <w:t>包工包料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三、合同工期</w:t>
      </w:r>
    </w:p>
    <w:p>
      <w:pPr>
        <w:widowControl/>
        <w:shd w:val="clear" w:color="auto" w:fill="FFFFFF"/>
        <w:spacing w:line="330" w:lineRule="atLeast"/>
        <w:ind w:firstLine="465"/>
        <w:jc w:val="left"/>
        <w:rPr>
          <w:rFonts w:hint="eastAsia" w:ascii="微软雅黑" w:hAnsi="微软雅黑"/>
          <w:color w:val="222222"/>
        </w:rPr>
      </w:pPr>
      <w:r>
        <w:rPr>
          <w:rFonts w:hint="eastAsia" w:ascii="微软雅黑" w:hAnsi="微软雅黑"/>
          <w:color w:val="222222"/>
        </w:rPr>
        <w:t>开工日期：202</w:t>
      </w:r>
      <w:r>
        <w:rPr>
          <w:rFonts w:hint="eastAsia" w:ascii="微软雅黑" w:hAnsi="微软雅黑"/>
          <w:color w:val="222222"/>
          <w:lang w:val="en-US" w:eastAsia="zh-CN"/>
        </w:rPr>
        <w:t>1</w:t>
      </w:r>
      <w:r>
        <w:rPr>
          <w:rFonts w:hint="eastAsia" w:ascii="微软雅黑" w:hAnsi="微软雅黑"/>
          <w:color w:val="222222"/>
        </w:rPr>
        <w:t>年   月    日（以学校通知准）。</w:t>
      </w:r>
    </w:p>
    <w:p>
      <w:pPr>
        <w:widowControl/>
        <w:shd w:val="clear" w:color="auto" w:fill="FFFFFF"/>
        <w:spacing w:line="330" w:lineRule="atLeast"/>
        <w:ind w:firstLine="465"/>
        <w:jc w:val="left"/>
        <w:rPr>
          <w:rFonts w:ascii="宋体" w:hAnsi="宋体" w:cs="宋体"/>
          <w:color w:val="000000"/>
          <w:kern w:val="0"/>
          <w:sz w:val="24"/>
        </w:rPr>
      </w:pPr>
      <w:r>
        <w:rPr>
          <w:rFonts w:hint="eastAsia" w:ascii="微软雅黑" w:hAnsi="微软雅黑"/>
          <w:color w:val="222222"/>
        </w:rPr>
        <w:t>竣工工期：202</w:t>
      </w:r>
      <w:r>
        <w:rPr>
          <w:rFonts w:hint="eastAsia" w:ascii="微软雅黑" w:hAnsi="微软雅黑"/>
          <w:color w:val="222222"/>
          <w:lang w:val="en-US" w:eastAsia="zh-CN"/>
        </w:rPr>
        <w:t>1</w:t>
      </w:r>
      <w:r>
        <w:rPr>
          <w:rFonts w:hint="eastAsia" w:ascii="微软雅黑" w:hAnsi="微软雅黑"/>
          <w:color w:val="222222"/>
        </w:rPr>
        <w:t xml:space="preserve"> 年  月   日 前。</w:t>
      </w: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四、质量标准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工程质量标准：</w:t>
      </w:r>
      <w:r>
        <w:rPr>
          <w:rFonts w:hint="eastAsia" w:ascii="宋体" w:hAnsi="宋体" w:cs="宋体"/>
          <w:color w:val="000000"/>
          <w:kern w:val="0"/>
          <w:sz w:val="24"/>
        </w:rPr>
        <w:t>合格</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五、合同价款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金额</w:t>
      </w:r>
      <w:r>
        <w:rPr>
          <w:rFonts w:hint="eastAsia" w:ascii="宋体" w:hAnsi="宋体" w:cs="宋体"/>
          <w:color w:val="000000"/>
          <w:kern w:val="0"/>
          <w:sz w:val="24"/>
        </w:rPr>
        <w:t>暂定</w:t>
      </w:r>
      <w:r>
        <w:rPr>
          <w:rFonts w:ascii="宋体" w:hAnsi="宋体" w:cs="宋体"/>
          <w:color w:val="000000"/>
          <w:kern w:val="0"/>
          <w:sz w:val="24"/>
        </w:rPr>
        <w:t>（大写）：</w:t>
      </w:r>
      <w:r>
        <w:rPr>
          <w:rFonts w:hint="eastAsia" w:ascii="宋体" w:hAnsi="宋体" w:cs="宋体"/>
          <w:color w:val="000000"/>
          <w:kern w:val="0"/>
          <w:sz w:val="24"/>
        </w:rPr>
        <w:t xml:space="preserve">        </w:t>
      </w:r>
      <w:r>
        <w:rPr>
          <w:rFonts w:ascii="宋体" w:hAnsi="宋体" w:cs="宋体"/>
          <w:color w:val="000000"/>
          <w:kern w:val="0"/>
          <w:sz w:val="24"/>
        </w:rPr>
        <w:t>（人民币）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 xml:space="preserve">    </w:t>
      </w:r>
      <w:r>
        <w:rPr>
          <w:rFonts w:ascii="宋体" w:hAnsi="宋体" w:cs="宋体"/>
          <w:color w:val="000000"/>
          <w:kern w:val="0"/>
          <w:sz w:val="24"/>
        </w:rPr>
        <w:t>（</w:t>
      </w:r>
      <w:r>
        <w:rPr>
          <w:rFonts w:hint="eastAsia" w:ascii="宋体" w:hAnsi="宋体" w:cs="宋体"/>
          <w:color w:val="000000"/>
          <w:kern w:val="0"/>
          <w:sz w:val="24"/>
        </w:rPr>
        <w:t>小</w:t>
      </w:r>
      <w:r>
        <w:rPr>
          <w:rFonts w:ascii="宋体" w:hAnsi="宋体" w:cs="宋体"/>
          <w:color w:val="000000"/>
          <w:kern w:val="0"/>
          <w:sz w:val="24"/>
        </w:rPr>
        <w:t>写）</w:t>
      </w:r>
      <w:r>
        <w:rPr>
          <w:rFonts w:hint="eastAsia" w:ascii="宋体" w:hAnsi="宋体" w:cs="宋体"/>
          <w:color w:val="000000"/>
          <w:kern w:val="0"/>
          <w:sz w:val="24"/>
        </w:rPr>
        <w:t>￥</w:t>
      </w:r>
      <w:r>
        <w:rPr>
          <w:rFonts w:ascii="宋体" w:hAnsi="宋体" w:cs="宋体"/>
          <w:color w:val="000000"/>
          <w:kern w:val="0"/>
          <w:sz w:val="24"/>
        </w:rPr>
        <w:t>：</w:t>
      </w:r>
      <w:r>
        <w:rPr>
          <w:rFonts w:hint="eastAsia" w:ascii="Arial" w:hAnsi="Arial" w:cs="Arial"/>
          <w:sz w:val="24"/>
          <w:u w:val="single"/>
        </w:rPr>
        <w:t xml:space="preserve">               </w:t>
      </w:r>
      <w:r>
        <w:rPr>
          <w:rFonts w:ascii="宋体" w:hAnsi="宋体" w:cs="宋体"/>
          <w:color w:val="000000"/>
          <w:kern w:val="0"/>
          <w:sz w:val="24"/>
        </w:rPr>
        <w:t>元</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备注：工程量按实结算，综合单价不予调整。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六、组成合同的文件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组成本合同的文件包括：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1.本合同协议书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w:t>
      </w:r>
      <w:r>
        <w:rPr>
          <w:rFonts w:hint="eastAsia" w:ascii="宋体" w:hAnsi="宋体" w:cs="宋体"/>
          <w:color w:val="000000"/>
          <w:kern w:val="0"/>
          <w:sz w:val="24"/>
        </w:rPr>
        <w:t>成交</w:t>
      </w:r>
      <w:r>
        <w:rPr>
          <w:rFonts w:ascii="宋体" w:hAnsi="宋体" w:cs="宋体"/>
          <w:color w:val="000000"/>
          <w:kern w:val="0"/>
          <w:sz w:val="24"/>
        </w:rPr>
        <w:t>通知书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w:t>
      </w:r>
      <w:r>
        <w:rPr>
          <w:rFonts w:hint="eastAsia" w:ascii="宋体" w:hAnsi="宋体" w:cs="宋体"/>
          <w:color w:val="000000"/>
          <w:kern w:val="0"/>
          <w:sz w:val="24"/>
        </w:rPr>
        <w:t>响应</w:t>
      </w:r>
      <w:r>
        <w:rPr>
          <w:rFonts w:ascii="宋体" w:hAnsi="宋体" w:cs="宋体"/>
          <w:color w:val="000000"/>
          <w:kern w:val="0"/>
          <w:sz w:val="24"/>
        </w:rPr>
        <w:t>书及其附件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4.本合同专用条款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5.本合同通用条款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6.标准、规范及有关技术文件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8.工程量清单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9.工程报价单或预算书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双方有关工程的洽商、变更等书面协议或文件视为本合同的组成部分。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七、本协议书中有关词语含义与本合同第二部分《通用条款》中分别赋予它们的定义相同。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八、承包人向发包人承诺按照合同约定进行施工、竣工并在质量保修期内承担工程质量保修责任。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九、发包人向承包人承诺按照合同约定的期限和方式支付合同价款及其他应当支付的款项。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十、合同生效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合同订立时间：</w:t>
      </w:r>
      <w:r>
        <w:rPr>
          <w:rFonts w:hint="eastAsia" w:ascii="宋体" w:hAnsi="宋体" w:cs="宋体"/>
          <w:color w:val="000000"/>
          <w:kern w:val="0"/>
          <w:sz w:val="24"/>
        </w:rPr>
        <w:t>202</w:t>
      </w:r>
      <w:r>
        <w:rPr>
          <w:rFonts w:hint="eastAsia" w:ascii="宋体" w:hAnsi="宋体" w:cs="宋体"/>
          <w:color w:val="000000"/>
          <w:kern w:val="0"/>
          <w:sz w:val="24"/>
          <w:lang w:val="en-US" w:eastAsia="zh-CN"/>
        </w:rPr>
        <w:t>1</w:t>
      </w:r>
      <w:bookmarkStart w:id="137" w:name="_GoBack"/>
      <w:bookmarkEnd w:id="137"/>
      <w:r>
        <w:rPr>
          <w:rFonts w:ascii="宋体" w:hAnsi="宋体" w:cs="宋体"/>
          <w:color w:val="000000"/>
          <w:kern w:val="0"/>
          <w:sz w:val="24"/>
        </w:rPr>
        <w:t>年</w:t>
      </w:r>
      <w:r>
        <w:rPr>
          <w:rFonts w:hint="eastAsia" w:ascii="宋体" w:hAnsi="宋体" w:cs="宋体"/>
          <w:color w:val="000000"/>
          <w:kern w:val="0"/>
          <w:sz w:val="24"/>
        </w:rPr>
        <w:t xml:space="preserve">   </w:t>
      </w:r>
      <w:r>
        <w:rPr>
          <w:rFonts w:ascii="宋体" w:hAnsi="宋体" w:cs="宋体"/>
          <w:color w:val="000000"/>
          <w:kern w:val="0"/>
          <w:sz w:val="24"/>
        </w:rPr>
        <w:t>月</w:t>
      </w:r>
      <w:r>
        <w:rPr>
          <w:rFonts w:hint="eastAsia" w:ascii="宋体" w:hAnsi="宋体" w:cs="宋体"/>
          <w:color w:val="000000"/>
          <w:kern w:val="0"/>
          <w:sz w:val="24"/>
        </w:rPr>
        <w:t xml:space="preserve">    </w:t>
      </w:r>
      <w:r>
        <w:rPr>
          <w:rFonts w:ascii="宋体" w:hAnsi="宋体" w:cs="宋体"/>
          <w:color w:val="000000"/>
          <w:kern w:val="0"/>
          <w:sz w:val="24"/>
        </w:rPr>
        <w:t>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合同订立地点：</w:t>
      </w:r>
      <w:r>
        <w:rPr>
          <w:rFonts w:hint="eastAsia" w:ascii="宋体" w:hAnsi="宋体" w:cs="宋体"/>
          <w:color w:val="000000"/>
          <w:kern w:val="0"/>
          <w:sz w:val="24"/>
        </w:rPr>
        <w:t>江宁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本合同双方约定</w:t>
      </w:r>
      <w:r>
        <w:rPr>
          <w:rFonts w:hint="eastAsia" w:ascii="宋体" w:hAnsi="宋体" w:cs="宋体"/>
          <w:color w:val="000000"/>
          <w:kern w:val="0"/>
          <w:sz w:val="24"/>
        </w:rPr>
        <w:t>双方签字盖章</w:t>
      </w:r>
      <w:r>
        <w:rPr>
          <w:rFonts w:ascii="宋体" w:hAnsi="宋体" w:cs="宋体"/>
          <w:color w:val="000000"/>
          <w:kern w:val="0"/>
          <w:sz w:val="24"/>
        </w:rPr>
        <w:t>后生效。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　包　人：（公章）　　　　　　　承　包　人：（公章）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住　　所：　　　　　　　　　　　　住　　所：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法定代表人：　　　　　　　　　　　法定代表人：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委托代理人：　　　　　　　　　　　委托代理人：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电　　话：　　　　　　　　　　　　电　　话：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传　　真：　　　　　　　　　　　　传　　真：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开户银行　：　　　　　　　　　　　开户银行　：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账　　号：　　　　　　　　　　　　账　　号：　　　　</w:t>
      </w:r>
    </w:p>
    <w:p>
      <w:pPr>
        <w:widowControl/>
        <w:shd w:val="clear" w:color="auto" w:fill="FFFFFF"/>
        <w:spacing w:line="330" w:lineRule="atLeast"/>
        <w:ind w:firstLine="465"/>
        <w:jc w:val="left"/>
        <w:rPr>
          <w:rFonts w:hint="eastAsia" w:ascii="宋体" w:hAnsi="宋体" w:cs="宋体"/>
          <w:color w:val="000000"/>
          <w:kern w:val="0"/>
          <w:sz w:val="24"/>
        </w:rPr>
      </w:pPr>
      <w:r>
        <w:rPr>
          <w:rFonts w:ascii="宋体" w:hAnsi="宋体" w:cs="宋体"/>
          <w:color w:val="000000"/>
          <w:kern w:val="0"/>
          <w:sz w:val="24"/>
        </w:rPr>
        <w:t>邮政编码　：　　　　　　　　　　　邮政编码　：</w:t>
      </w:r>
    </w:p>
    <w:p>
      <w:pPr>
        <w:widowControl/>
        <w:shd w:val="clear" w:color="auto" w:fill="FFFFFF"/>
        <w:spacing w:line="330" w:lineRule="atLeast"/>
        <w:rPr>
          <w:rFonts w:hint="eastAsia" w:ascii="宋体" w:hAnsi="宋体" w:cs="宋体"/>
          <w:color w:val="000000"/>
          <w:kern w:val="0"/>
          <w:sz w:val="24"/>
        </w:rPr>
      </w:pP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第二部分　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一、词语定义及合同文件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1.词语定义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下列词语除专用条款另有约定外，应具有本条所赋予的定义：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　通用条款：是根据法律、行政法规规定及建设工程施工的需要订方，通用于建设工程施工的条款。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　专用条款：是发包人与承包人根据法律、行政法规规定，结合具体工程实际，经协商达成一致意见的条款，是对通用条款的具体化、补充或修改。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　发包人：指在协议书中约定，具有工程发包主体资格和支付工程价款能力的当事人以及取得该当事人资格的合法继承人。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　承包人：指在协议书中约定，被发包人接受的具有工程施工承包主体资格的当事人以及取得该当事人资格的合法继承人。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　项目经理：指承包人在专用条款中指定的负责施工管理和合同履行的代表。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　设计单位：指发包人委托的负责本工程设计并取得相应工程设计资质等级证书的单位。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　监理单位：指发包人委托的负责本工程监理并取得相应工程监理资质等级证书的单位。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1.8　工程师：指本工程监理单位委派的总监理工程师或发包人指定的履行本合同的代表，其具体身份和职权由发包人承包人在专用条款中约定。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　工程造价管理部门：指国务院有关部门、县级以上人民政府建设行政主管部门或其委托的工程造价管理机构。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1.10　工程：指发包人承包人在协议书中约定的承包范围内的工程。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1.11　合同价款：指发包人承包人在协议书中约定，发包人用以支付承包人按照合同约定完成承包范围内全部工程并承担质量保修责任的款项。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1.12　追加合同价款：指在合同履行中发生需要增加合同价款的情况，经发包人确认后按计算合同价款的方法增加的合同价款。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1.13　费用：指不包含在合同价款之内的应当由发包人或承包人承担的经济支出。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1.14　工期；指发包人承包人在协议书中约定，按总日历天数（包括法定节假日）计算的承包天数。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1.15　开工日期：指发包人承包人在协议书中约定，承包人开始施工的绝对或相对的日期。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1.16　竣工日期：指发包人承包人在协议书中约定，承包人完成承包范围内工程的绝对或相对的日期。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1.17　图纸：指由发包人提供或由承包人提供并经发包人批准，满足承包人施工需要的所有图纸（包括配套说明和有关资料）。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1.18　施工场地：指由发包人提供的用于工程施工的场所以及发包人在图纸中具体指定的供施工使用的任何其他场所。</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1.19　书面形式：指合同书、信件和数据电文（包括电报、电传、传真、电子数据交换和电子邮件）等可以有形地表现所载内容的形式。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1.20　违约责任：指合同一方不履行合同义务或履行合同义务不符合约定所应承担的责任。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1.21　索赔：指在合同履行过程中，对于并非自己的过错，而是应由对方承担责任的情况造成的实际损失，向对方提出经济补偿和（或）工期顺延的要求。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1.22　不可抗力：指不能预见、不能避免并不能克服的客观情况。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1.23　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2.合同文件及解释顺序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　合同文件应能相互解释，互为说明。除专用条款另有约定外，组成本合同的文件及优先解释顺序如下：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（1）本合同协议书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w:t>
      </w:r>
      <w:r>
        <w:rPr>
          <w:rFonts w:hint="eastAsia" w:ascii="宋体" w:hAnsi="宋体" w:cs="宋体"/>
          <w:color w:val="000000"/>
          <w:kern w:val="0"/>
          <w:sz w:val="24"/>
        </w:rPr>
        <w:t>成交</w:t>
      </w:r>
      <w:r>
        <w:rPr>
          <w:rFonts w:ascii="宋体" w:hAnsi="宋体" w:cs="宋体"/>
          <w:color w:val="000000"/>
          <w:kern w:val="0"/>
          <w:sz w:val="24"/>
        </w:rPr>
        <w:t>通知书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w:t>
      </w:r>
      <w:r>
        <w:rPr>
          <w:rFonts w:hint="eastAsia" w:ascii="宋体" w:hAnsi="宋体" w:cs="宋体"/>
          <w:color w:val="000000"/>
          <w:kern w:val="0"/>
          <w:sz w:val="24"/>
        </w:rPr>
        <w:t>响应</w:t>
      </w:r>
      <w:r>
        <w:rPr>
          <w:rFonts w:ascii="宋体" w:hAnsi="宋体" w:cs="宋体"/>
          <w:color w:val="000000"/>
          <w:kern w:val="0"/>
          <w:sz w:val="24"/>
        </w:rPr>
        <w:t>书及其附件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（4）本合同专用条款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（5）本合同通用条款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（6）标准、规范及有关技术文件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（8）工程量清单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（9）工程报价单或预算书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合同履行中，发包人承包人有关工程的洽商、变更等书面协议或文件视为本合同的组成部分。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　当合同文件内容含糊不清或不相一致时，在不影响工程正常进行的情况下，由发包人承包人协商解决。双方也可以提请负责监理的工程师作出解释。双方协商不成或不同意负责监理的工程师的解释时，按本通用条款条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3.语言文字和适用法律、标准及规范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　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本合同文件使用汉语语言文字书写、解释和说明。如专用条款约定使用两种以上（含两种）语言文字时，汉语应为解释和说明本合同的标准语言文字。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在少数民族地区，双方可以约定使用少数民族语言文字书写和解释、说明本合同。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　适用法律和法规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本合同文件适用国家的法律和行政法规。需要明示的法律、行政法规，由双方在专用条款中约定。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3.3适用标准、规范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国内没有相应标准、规范的，由发包人按专用条款约定的时间向承包人提出施工技术要求，承包人按约定的时间和要求提出施工工艺，经发包人认可后执行。发包人要求使用国外标准、规范的，应负责提供中文译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本条所发生的购买、翻译标准、规范或制定施工工艺的费用，由发包人承担。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　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　承包人未经发包人同意，不得将本工程图纸转给第三人。工程质量保修期满后，除承包人存档需要的图纸外，应将全部图纸退还给发包人。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　承包人应在施工现场保留一套完整图纸，供工程师及有关人员进行工程检查时使用。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二、双方一般权利和义务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5.1　实行工程监理的，发包人应在实施监理前将委托的监理单位名称、监理内容及监理权限以书面形式通知承包人。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5.2　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5.3　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5.4　合同履行中，发生影响发包人承包人双方权利或义务的事件时，负责监理的工程师应依据合同在其职权范围内客观公正地进行处理。一方对工程师的处理有异议时，按本通用条款条37条关于争议的约定处理。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5.5　除合同内有明确约定或经发包人同意外，负责监理的工程师无权解除本合同约定的承包人的任何权利与义务。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5.6　不实行工程监理的，本合同中工程师专指发包人派驻施工场地履行合同的代表，其具体职权由发包人在专用条款内写明。</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6.工程师的委派和指令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6.1　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除工程师或工程师代表外，发包人派驻工地的其他人员均无权向承包人发出任何指令。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6.2　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本款规定同样适用于由工程师代表发出的指令、通知。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6.3　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6.4　如需更换工程师，发包人应至少提前7天以书面形式通知承包人，后任继续行使合同文件约定的前任的职权，履行前任的义务。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7.1　项目经理的姓名、职务在专用条款内写明。</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7.2　承包人依据合同发出的通知，以书面形式由项目经理签字后送交工程师，工程师在回执上签署姓名和收到时间后生效。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7.3　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7.4　承包人如需更换项目经理，应至少提前7天以书面形式通知发包人，并征得发包人同意。后任继续行使合同文件约定的前任的职权，履行前任的义务。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7.5　发包人可以与承包人协商，建议更换其认为不称职的项目经理。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8.发包人工作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8.1　发包人按专用条款约定的内容和时间完成以下工作：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（1）办理土地征用、拆迁补偿、平整施工场地等工作，使施工场地具备施工条件，在开工后继续负责解决以上事项遗留问题；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（2）将施工所需水、电、电讯线路从施工场地外部接至专用条款约定地点，保证施工期间的需要；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（3）开通施工场地与城乡公共道路的通道，以及专用条款约定的施工场地内的主要道路，满足施工运输的需要，保证施工期间的畅通；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（4）向承包人提供施工场地的工程地质和地下管线资料，对资料的真实准确性负责；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（5）办理施工许可证及其他施工所需证件、批件和临时用地、停水、停电、中断道路交通、爆破作业等的申请批准手续（证明承包人自身资质的证件除外）；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（6）确定水准点与座标控制点，以书面形式交给承包人，进行现场交验；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（7）组织承包人和设计单位进行图纸会审和设计交底；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（8）协调处理施工场地周围地下管线和邻近建筑物、构筑物（包括文物保护建筑）、古树名木的保护工作，承担有关费用；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（9）发包人应做的其他工作，双方在专用条款内约定。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8.2　发包人可以将8.1款部分工作委托承包人办理，双方在专用条款内约定，其费用由发包人承担。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8.3　发包人未能履行8.1款各项义务，导致工期延误或给承包人造成损失的，发包人赔偿承包人有关损失，顺延延误的工期。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9.1　承包人按专用条款约定的内容和时间完成以下工作：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（1）根据发包人委托，在其设计资质等级和业务允许的范围内，完成施工图设计或与工程配套的设计，经工程师确认后使用，发包人承担由此发生的费用；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（2）向工程师提供年、季、月度工程进度计划及相应进度统计报表；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（3）根据工程需要，提供和维修非夜间施工使用的照明、围栏设施，并负责安全保卫；</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（4）按专用条款约定的数量和要求，向发包人提供施工场地办公和生活的房屋及设施，发包人承担由此发生的费用；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（5）遵守政府有关主管部门对施工场地交通、施工噪音以及环境保护和安全生产等的管理规定，按规定办理有关手续，并以书面形式通知发包人，发包人承担由此发生的费用，因承包人责任造成的罚款除外；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（7）按专用条款约定做好施工场地地下管线和邻近建筑物、构筑物（包括文物保护建筑）、古树名木的保护工作；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（8）保证施工场地清洁符合环境卫生管理的有关规定，交工前清理现场达到专用条款约定的要求，承担因自身原因违反有关规定造成的损失和罚款；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（9）承包人应做的其他工作，双方在专用条款内约定。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9.2　承包人未能履行9.1款各项义务，造成发包人损失的，承包人赔偿发包人有关损失。</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三、施工组织设计和工期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10.进度计划</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10.1　承包人应按专用条款约定的日期，将施工组织设计和工程进度计划提交工程师，工程师按专用条款约定的时间予以确认或提出修改意见，逾期不确认也不提出书面意见的，视为同意。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10.2　群体工程中单位工程分期进行施工的，承包人应按照发包人提供图纸及有关资料的时间，按单位工程编制进度计划，其具体内容双方在专用条款中约定。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10.3　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11.开工及延期开工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11.1　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11.2　因发包人原因不能按照协议书约定的开工日期开工，工程师应以书面形式通知承包人，推迟开工日期。发包人赔偿承包人因延期开工造成的损失，并相应顺延工期。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12.暂停施工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13.工期延误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13.1　因以下原因造成工期延误，经工程师确认，工期相应顺延：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（1）发包人未能按专用条款的约定提供图纸及开工条件；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（2）发包人未能按约定日期支付工程预付款、进度款，致使施工不能正常进行；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（3）工程师未按合同约定提供所需指令、批准等，致使施工不能正常地行；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（4）设计变更和工程量增加；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（5）一周内非承包人原因停水、停电、停气造成停工累计超过8小时；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（7）专用条款中约定或工程师同意工期顺延的其他情况。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13.2　承包人在13.1款情况发生后14天内，就延误的工期以书面形式向工程师提出报告。工程师在收到报告后14天内予以确认，逾期不予确认也不提出修改意见，视为同意顺延工期。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14.工程竣工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14.1　承包人必须按照协议书约定的竣工日期或工程师同意顺延的工期竣工。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14.2　因承包人原因不能按照协议书约定的竣工日期或工程师同意顺延的工期竣工的，承包人承担违约责任。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14.3　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四、质量与检验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15.工程质量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15.1　工程质量应当达到协议书约定的质量标准，质量标准的评定以国家或行业的质量检验评定标准为依据。因承包人原因工程质量达不到约定的质量标准，承包人承担违约责任。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15.2　双方对工程质量有争议，由双方同意的工程质量检测机构鉴定，所需费用及因此造成的损失，由责任方承担。双方均有责任，由双方根据其责任分别承担。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16.检查和返工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16.1　承包人应认真按照标准、规范和设计图纸要求以及工程师依据合同发出的指令施工，随时接受工程师的检查检验，为检查检验提供便利条件。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16.2　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16.3　工程师的检查检验不应影响施工正常进行。如影响施工正常进行，检查检验不合格时，影响正常施工的费用由承包人承担。除此之外影响正常施工的追加合同价款由发包人承担，相应顺延工期。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16.4　因工程师指令失误或其他非承包人原因发生的追加合同价款，由发包人承担。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17.隐蔽工程和中间验收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17.1　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17.2　工程师不能按时进行验收，应在验收前24小时以书面形式向承包人提出延期要求，延期不能超过48小时。工程师未能按以上时间提出延期要求，不进行验收，承包人可自行组织验收，工程师应承认验收记录。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17.3　经工程师验收，工程质量符合标准、规范和设计图纸等要求，验收24小时后，工程师不在验收记录上签字，视为工程师已经认可验收记录，承包人可进行隐蔽或继续施工。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18.重新检验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19.工程试车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19.1　双方约定需要试车的，试车内容应与承包人承包的安装范围相一致。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19.2　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19.3　工程师不能按时参加试车，须在开始试车前24小时以书面形式向承包人提出延期要求，延期不能超过48小时。工程师未能按以上时间提出延期要求，不参加试车，应承认试车记录。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19.4　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19.5　双方责任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（1）由于设计原因试车达不到验收要求，发包人应要求设计单位修改设计，承包人按修改后的设计重新安装。发包人承担修改设计、拆除及重新安装的全部费用和追加合同价款，工期相应顺延。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（3）由于承包人施工原因试车达不到验收要求，承包人按工程师要求重新安装和试车，并承担重新安装和试车的费用，工期不予顺延。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（4）试车费用除已包括在合同价款之内或专用条款另有约定外，均由发包人承担。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（5）工程师在试车合格后不在试车记录上签字，试车结束24小时后，视为工程师已经认可试车记录，承包人可继续施工或办理竣工手续。</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19.6　投料试车应在工程竣工验收后由发包人负责，如发包人要求在工程竣工验收前进行或需要承包人配合时，应征得承包人同意，另行签订补充协议。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五、安全施工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20.安全施工与检查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20.1　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20.2　发包人应对其在施工场地的工作人员进行安全教育，并对他们的安全负责。发包人不得要求承包人违反安全管理的规定进行施工。因发包人原因导致的安全事故，由发包人承担相应责任及发生的费用。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21.安全防护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21.1　承包人在动力设备、输电线路、地下管道、密封防震车间、易燃易爆地段以及临街交通要道附近施工时，施工开始前应向工程师提出安全防护措施，经工程师认可后实施，防护措施费用由发包人承担。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21.2　实施爆破作业，在放射、毒害性环境中施工（含储存、运输、使用）及使用毒害性、腐蚀性物品施工时，承包人应在施工前14天以书面形式通知工程师，并提出相应的安全防护措施，经工程师认可后实施，由发包人承担安全防护措施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22.事故处理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22.1　发生重大伤亡及其他安全事故，承包人应按有关规定立即上报有关部门并通知工程师，同时按政府有关部门要求处理，由事故责任方承担发生的费用。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22.2　发包人承包人对事故责任有争议时，应按政府有关部门的认定处理。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六、合同价款与支付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23.合同价款及调整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23.1　</w:t>
      </w:r>
      <w:r>
        <w:rPr>
          <w:rFonts w:hint="eastAsia" w:ascii="宋体" w:hAnsi="宋体" w:cs="宋体"/>
          <w:color w:val="000000"/>
          <w:kern w:val="0"/>
          <w:sz w:val="24"/>
        </w:rPr>
        <w:t>询价</w:t>
      </w:r>
      <w:r>
        <w:rPr>
          <w:rFonts w:ascii="宋体" w:hAnsi="宋体" w:cs="宋体"/>
          <w:color w:val="000000"/>
          <w:kern w:val="0"/>
          <w:sz w:val="24"/>
        </w:rPr>
        <w:t>工程的合同价款由发包人承包人依据</w:t>
      </w:r>
      <w:r>
        <w:rPr>
          <w:rFonts w:hint="eastAsia" w:ascii="宋体" w:hAnsi="宋体" w:cs="宋体"/>
          <w:color w:val="000000"/>
          <w:kern w:val="0"/>
          <w:sz w:val="24"/>
        </w:rPr>
        <w:t>成交</w:t>
      </w:r>
      <w:r>
        <w:rPr>
          <w:rFonts w:ascii="宋体" w:hAnsi="宋体" w:cs="宋体"/>
          <w:color w:val="000000"/>
          <w:kern w:val="0"/>
          <w:sz w:val="24"/>
        </w:rPr>
        <w:t>通知书中的</w:t>
      </w:r>
      <w:r>
        <w:rPr>
          <w:rFonts w:hint="eastAsia" w:ascii="宋体" w:hAnsi="宋体" w:cs="宋体"/>
          <w:color w:val="000000"/>
          <w:kern w:val="0"/>
          <w:sz w:val="24"/>
        </w:rPr>
        <w:t>成交</w:t>
      </w:r>
      <w:r>
        <w:rPr>
          <w:rFonts w:ascii="宋体" w:hAnsi="宋体" w:cs="宋体"/>
          <w:color w:val="000000"/>
          <w:kern w:val="0"/>
          <w:sz w:val="24"/>
        </w:rPr>
        <w:t>价格在协议书内约定。非</w:t>
      </w:r>
      <w:r>
        <w:rPr>
          <w:rFonts w:hint="eastAsia" w:ascii="宋体" w:hAnsi="宋体" w:cs="宋体"/>
          <w:color w:val="000000"/>
          <w:kern w:val="0"/>
          <w:sz w:val="24"/>
        </w:rPr>
        <w:t>询价</w:t>
      </w:r>
      <w:r>
        <w:rPr>
          <w:rFonts w:ascii="宋体" w:hAnsi="宋体" w:cs="宋体"/>
          <w:color w:val="000000"/>
          <w:kern w:val="0"/>
          <w:sz w:val="24"/>
        </w:rPr>
        <w:t>工程的合同价款由发包人承包人依据工程预算书在协议书内约定。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23.2　合同价款在协议书内约定后，任何一方不得擅自改变。下列三种确定合同价款的方式，双方可在专用条款内约定采用其中一种：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（1）固定价格合同。双方在专用条款内约定合同价款包含的风险范围和风险费用的计算方法，在约定的风险范围内合同价款不再调整。风险范围以外的合同价款调整方法，应当在专用条款内约定。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（2）可调价格合同。合同价款可根据双方的约定而调整，双方在专用条款内约定合同价款调整方法。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（3）成本加酬金合同。合同价款包括成本和酬金两部分，双方在专用条款内约定成本构成和酬金的计算方法。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23.3　可调价格合同中合同价款的调整因素包括：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（1）法律、行政法规和国家有关政策变化影响合同价款；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（2）工程造价管理部门公布的价格调整；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（3）一周内非承包人原因停水、停电、停气造成停工累计超过8小时；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（4）双方约定的其他因素。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23.4　承包人应当在23.3款情况发生后14天内，将调整原因、金额以书面形式通知工程师，工程师确认调整金额后作为追加合同价款，与工程款同期支付。工程师收到承包人通知后14天内不予确认也不提出修改意见，视为已经同意该项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24.工程预付款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实行工程预付款的，双方应当在专用条款内约定发包人向承包人预付工程款的时间和数额，开工后按约定的时间和比例逐次扣回。预付时间应不迟于约定的开工日期前7天。发包人不按约定预付，承包人在约定预付时间7天后向发包人发出要求预付的通知，发包人收到通知后仍不能按要求预付，承包人可在发出通知后7天停止施工，发包人应从约定应付之日起向承包人支付应付款的贷款利息，并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25.工程量的确认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25.1　承包人应按专用条款约定的时间，向工程师提交已完工程量的报告。工程师接到报告后7天内按设计图纸核实已完工程量（以下称计量），并在计量前24小时通知承包人，承包人为计量提供便利条件并派人参加。承包人收到通知后不参加计量，计量结果有效，作为工程价款支付的依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25.2　工程师收到承包人报告后7天内未进行计量，从第8天起，承包人报告中开列的工程量即视为被确认，作为工程价款支付的依据。工程师不按约定时间通知承包人，致使承包人未能参加计量，计量结果无效。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25.3　对承包人超出设计图纸范围和因承包人原因造成返工的工程量，工程师不予计量。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26.工程款（进度款）支付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26.1　在确认计量结果后14天内，发包人应向承包人支付工程款（进度款）。按约定时间发包人应扣回的预付款，与工程款（进度款）同期结算。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26.2　本通用条款第23条确定调整的合同价款，第31条工程变更调整的合同价款及其他条款中约定的追加合同价款，应与工程款（进度款）同期调整支付。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26.3　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和从计量结果确认后第15天起应付款的贷款利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26.4　发包人不按合同约定支付工程款（进度款），双方又未达成延期付款协议，导致施工无法进行，承包人可停止施工，由发包人承担违约责任。</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七、材料设备供应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27.发包人供应材料设备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27.1　实行发包人供应材料设备的，双方应当约定发包人供应材料设备的一览表，作为本合同附件（附件2）。一览表包括发包人供应材料设备的品种、规格、型号、数量、单价、质量等级、提供时间和地点。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27.2　发包人按一览表约定的内容提供材料设备，并向承包人提供产品合格证明，对其质量负责。发包人在所供材料设备到货前24小时，以书面形式通知承包人，由承包人派人与发包人共同清点。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27.3　发包人供应的材料设备，承包人派人参加清点后由承包人妥善保管，发包人支付相应保管费用。因承包人原因发生丢失损坏，由承包人负责赔偿。</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发包人未通知承包人清点，承包人不负责材料设备的保管，丢失损坏由发包人负责。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27.4　发包人供应的材料设备与一览表不符时，发包人承担有关责任。发包人应承担责任的具体内容，双方根据下列情况在专用条款内约定：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（1）材料设备单价与一览表不符，由发包人承担所有价差；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（2）材料设备的品种、规格、型号、质量等级与一览表不符，承包人可拒绝接收保管，由发包人运出施工场地并重新采购；</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（3）发包人供应的材料规格、型号与一览表不符，经发包人同意，承包人可代为调剂串换，由发包人承担相应费用；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（4）到货地点与一览表不符，由发包人负责运至一览表指定地点；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（5）供应数量少于一览表约定的数量时，由发包人补齐，多于一览表约定数量时，发包人负责将多出部分运出施工场地；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（6）到货时间早于一览表约定时间，由发包人承担因此发生的保管费用；到货时间迟于一览表约定的供应时间，发包人赔偿由此造成的承包人损失，造成工期延误的，相应顺延工期；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27.5　发包人供应的材料设备使用前，由承包人负责检验或试验，不合格的不得使用，检验或试验费用由发包人承担。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27.6　发包人供应材料设备的结算方法，双方在专用条款内约定。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28.承包人采购材料设备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28.1　承包人负责采购材料设备的，应按照专用条款约定及设计和有关标准要求采购，并提供产品合格证明，对材料设备质量负责。承包人在材料设备到货前24小时通知工程师清点。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28.2　承包人采购的材料设备与设计或标准要求不符时，承包人应按工程师要求的时间运出施工场地，重新采购符合要求的产品，承担由此发生的费用，由此延误的工期不予顺延。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28.3　承包人采购的材料设备在使用前，承包人应按工程师的要求进行检验或试验，不合格的不得使用，检验或试验费用由承包人承担。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28.4　工程师发现承包人采购并使用不符合设计和标准要求的材料设备时，应要求承包人负责修复、拆除或重新采购，由承包人承担发生的费用，由此延误的工期不予顺延。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28.5　承包人需要使用代用材料时，应经工程师认可后才能使用，由此增减的合同价款双方以书面形式议定。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28.6　由承包人采购的材料设备，发包人不得指定生产厂或供应商。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八、工程变更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29.工程设计变更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29.1　施工中发包人需对原工程设计进行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（1）更改工程有关部分的标高、基线、位置和尺寸；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（2）增减合同中约定的工程量；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（3）改变有关工程的施工时间和顺序；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（4）其他有关工程变更需要的附加工作。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因变更导致合同价款的增减及造成的承包人损失，由发包人承担，延误的工期相应顺延。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29.2　施工中承包人不得对原工程设计进行变更。因承包人擅自变更设计发生的费用和由此导致发包人的直接损失，由承包人承担，延误的工期不予顺延。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29.3　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工程师同意采用承包人合理化建议，所发生的费用和获得的收益，发包人承包人另行约定分担或分享。</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30.其他变更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合同履行中发包人要求变更工程质量标准及发生其他实质性变更，由双方协商解决。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31.确定变更价款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31.1　承包人在工程变更确定后14天内，提出变更工程价款的报告，经工程师确认后调整合同价款。变更合同价款按下列方法进行：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（1）合同中已有适用于变更工程的价格，按合同已有的价格变更合同价款；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（2）合同中只有类似于变更工程的价格，可以参照类似价格变更合同价款；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（3）合同中没有适用或类似于变更工程的价格，由承包人提出适当的变更价格，经工程师确认后执行。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31.2　承包人在双方确定变更后14天内不向工程师提出变更工程价款报告时，视为该项变更不涉及合同价款的变更。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31.3　工程师应在收到变更工程价款报告之日起14天内予以确认，工程师无正当理由不确认时，自变更工程价款报告送达之日起14天后视为变更工程价款报告已被确认。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31.4　工程师不同意承包人提出的变更价款，按本通用条款第37条关于争议的约定处理。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31.5　工程师确认增加的工程变更价款作为追加合同价款，与工程款同期支付。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31.6　因承包人自身原因导致的工程变更，承包人无权要求追加合同价款。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九、竣工验收与结算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32.竣工验收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32.1　工程具备竣工验收条件，承包人按国家工程竣工验收有关规定，向发包人提供完整竣工资料及竣工验收报告。双方约定由承包人提供竣工图的，应当在专用条款内约定提供的日期和份数。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32.2　发包人收到竣工验收报告后28天内组织有关单位验收，并在验收后14天内给予认可或提出修改意见。承包人按要求修改，并承担由自身原因造成修改的费用。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32.3　发包人收到承包人送交的竣工验收报告后28天内不组织验收，或验收后14天内不提出修改意见，视为竣工验收报告已被认可。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32.4　工程竣工验收通过，承包人送交竣工验收报告的日期为实际竣工日期。工程按发包人要求修改后通过竣工验收的，实际竣工日期为承包人修改后提请发包人验收的日期。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32.5　发包人收到承包人竣工验收报告后28天内不组织验收，从第29天起承担工程保管及一切意外责任。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32.6　中间交工工程的范围和竣工时间，双方在专用条款内约定，其验收程序按本通用条款32.1款至32.4款办理。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32.7　因特殊原因，发包人要求部分单位工程或工程部位甩项竣工的，双方另行签订甩项竣工协议，明确双方责任和工程价款的支付方法。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32.8　工程未经竣工验收或竣工验收未通过的，发包人不得使用。发包人强行使用时，由此发生的质量问题及其他问题，由发包人承担责任。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33.竣工结算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33.1　工程竣工验收报告经发包人认可后28天内，承包人向发包人递交竣工结算报告及完整的结算资料，双方按照协议书约定的合同价款及专用条款约定的合同价款调整内容，进行工程竣工结算。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33.2　发包人收到承包人递交的竣工结算报告及结算资料后28天内进行核实，给予确认或者提出修改意见。发包人确认竣工结算报告后通知经办银行向承包人支付工程竣工结算价款。承包人收到竣工结算价款后14天内将竣工工程交付发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33.3　发包人收到竣工结算报告及结算资料后28天内无正当理由不支付工程竣工结算价款，从第29天起按承包人同期向银行贷款利率支付拖欠工程价款的利息，并承担违约责任。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33.4　发包人收到竣工结算报告及结算资料后28天内不支付工程竣工结算价款，承包人可以催告发包人支付结算价款。发包人在收到竣工结算报告及结算资料后56天内仍不支付的，承包人可以与发包人协议将该工程折价，也可以由承包人申请人民法院将该工程依法拍卖，承包人就该工程折价或者拍卖的价款优先受偿。</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33.5　工程竣工验收报告经发包人认可后28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33.6　发包人承包人对工程竣工结算价款发生争议时，按本通用条款第37条关于争议的约定处理。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34.质量保修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34.1　承包人应按法律、行政法规或国家关于工程质量保修的有关规定，对交付发包人使用的工程在质量保修期内承担质量保修责任。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34.2　质量保修工作的实施。承包人应在工程竣工验收之前，与发包人签订质量保修书，作为本合同附件（附件3）。</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34.3　质量保修书的主要内容包括：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（1）质量保修项目内容及范围；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（2）质量保修期；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（4）质量保修金的支付方法。</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十、违约、索赔和争议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35.违约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35.1　发包人违约。当发生下列情况时：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（1）本通用条款第24条提到的发包人不按时支付工程预付款；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（2）本通用条款第26.4款提到的发包人不按合同约定支付工程款，导致施工无法进行；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（3）本通用条款第33.3款提到的发包人无正当理由不支付工程竣工结算价款；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（4）发包人不履行合同义务或不按合同约定履行义务的其他情况。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发包人承担违约责任，赔偿因其违约给承包人造成的经济损失，顺延延误的工期。双方在专用条款内约定发包人赔偿承包人损失的计算方法或者发包人应当支付违约金的数额或计算方法。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35.2　承包人违约。当发生下列情况时：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（1）本通用条款第14.2款提到的因承包人原因不能按照协议书约定的竣工日期或工程师同意顺延的工期竣工；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（2）本通用条款第15.1款提到的因承包人原因工程质量达不到协议书约定的质量标准；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（3）承包人不履行合同义务或不按合同约定履行义务的其他情况。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承包人承担违约责任，赔偿因其违约给发包人造成的损失。双方在专用条款内约定承包人赔偿发包人损失的计算方法或者承包人应当支付违约金的数额或计算方法。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35.3　一方违约后，另一方要求违约方继续履行合同时，违约方承担上述违约责任后仍应继续履行合同。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36.1　当一方向另一方提出索赔时，要有正当索赔理由，且有索赔事件发生时的有效证据。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36.2　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（1）索赔事件发生后28天内，向工程师发出索赔意向通知；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（2）发出索赔意向通知后28天内，向工程师提出延长工期和（或）补偿经济损失的索赔报告及有关资料；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（3）工程师在收到承包人送交的索赔报告和有关资料后，于28天内给予答复，或要求承包人进一步补充索赔理由和证据；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（4）工程师在收到承包人送交的索赔报告和有关资料后28天内未予答复或未对承包人作进一步要求，视为该项索赔已经认可；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（5）当该索赔事件持续进行时，承包人应当阶段性向工程师发出索赔意向，在索赔事件终了后28天内，向工程师送交索赔的有关资料和最终索赔报告。索赔答复程序与（3）、（4）规定相同。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36.3　承包人未能按合同约定履行自己的各项义务或发生错误，给发包人造成经济损失，发包人可按36.2款确定的时限向承包人提出索赔。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37.1　发包人承包人在履行合同时发生争议，可以和解或者要求有关主管部门调解。当事人不愿和解、调解或者和解、调解不成的，双方可以在专用条款内约定以下一种方式解决争议：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第一种解决方式：双方达成仲裁协议，向约定的仲裁委员会申请仲裁；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第二种解决方式；向有管辖权的人民法院起诉。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37.2　发生争议后，除非出现下列情况的，双方都应继续履行合同，保持施工连续，保护好已完工程：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（1）单方违约导致合同确已无法履行，双方协议停止施工；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（2）调解要求停止施工，且为双方接受；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（3）仲裁机构要求停止施工；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（4）法院要求停止施工。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十一、其他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38.工程分包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38.1　承包人按专用条款的约定分包所承包的部分工程，并与分包单位签订分包合同。非经发包人同意，承包人不得将承包工程的任何部分分包。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38.2　承包人不得将其承包的全部工程转包给他人，也不得将其承包的全部工程肢解以后以分包的名义分别转包给他人。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38.3　工程分包不能解除承包人任何责任与义务。承包人应在分包场地派驻相应管理人员，保证本合同的履行。分包单位的任何违约行为或疏忽导致工程损害或给发包人造成其他损失，承包人承担连带责任。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38.4　分包工程价款由承包人与分包单位结算。发包人未经承包人同意不得以任何形式向分包单位支付各种工程款项。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39.1　不可抗力包括因战争、动乱、空中飞行物体坠落或其他非发包人承包人责任造成的爆炸、火灾，以及专用条款约定的风、雨、雪、洪、震等自然灾害。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39.2　不可抗力事件发生后，承包人应立即通知工程师，并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力事件持续发生，承包人应每隔7天向工程师报告一次受害情况。不可抗力事件结束后14天内，承包人向工程师提交清理和修复费用的正式报告及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39.3　因不可抗力事件导致的费用及延误的工期由双方按以下方法分别承担：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（1）工程本身的损害、因工程损害导致第三人人员伤亡和财产损失以及运至施工场地用于施工的材料和待安装的设备的损害，由发包人承担；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（2）发包人承包人人员伤亡由其所在单位负责，并承担相应费用；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（3）承包人机械设备损坏及停工损失，由承包人承担；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（4）停工期间，承包人应工程师要求留在施工场地的必要的管理人员及保卫人员的费用由发包人承担；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（5）工程所需清理、修复费用，由发包人承担；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39.4　因合同一方迟延履行合同后发生不可抗力的，不能免除迟延履行方的相应责任。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40.保险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40.1　工程开工前，发包人为建设工程和施工场地内的自有人员及第三人人员生命财产办理保险，支付保险费用。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40.2　运至施工场地内用于工程的材料和待安装设备，由发包人办理保险，并支付保险费用。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40.3　发包人可以将有关保险事项委托承包人办理，费用由发包人承担。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40.4　承包人必须为从事危险作业的职工办理意外伤害保险，并为施工场地内自有人员生命财产和施工机械设备办理保险，支付保险费用。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40.5　保险事故发生时，发包人承包人有责任尽力采取必要的措施，防止或者减少损失。</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40.6　具体投保内容和相关责任，发包人承包人在专用条款中约定。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41.1　发包人承包人为了全面履行合同，应互相提供以下担保：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（1）发包人向承包人提供履约担保，按合同约定支付工程价款及履行合同约定的其他义务。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（2）承包人向发包人提供履约担保，按合同约定履行自己的各项义务。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41.2　一方违约后，另一方可要求提供担保的第三人承担相应责任。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41.3　提供担保的内容、方式和相关责任，发包人承包人除在专用条款中约定外，被担保方与担保方还应签订担保合同，作为本合同附件。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42.专利技术及特殊工艺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42.1　发包人要求使用专利技术或特殊工艺，应负责办理相应的申报手续，承担申报、试验、使用等费用；承包人提出使用专利技术或特殊工艺，应取得工程师认可，承包人负责办理申报手续并承担有关费用。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42.2　擅自使用专利技术侵犯他人专利权的，责任者依法承担相应责任。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43.文物和地下障碍物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43.1　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如发现后隐瞒不报，致使文物遭受破坏，责任者依法承担相应责任。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43.2　施工中发现影响施工的地下障碍物时，承包人应于8小时内以书面形式通知工程师，同时提出处置方案，工程师收到处置方案后24小时内予以认可或提出修正方案。发包人承担由此发生的费用，顺延延误的工期。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所发现的地下障碍物有归属单位时，发包人应报请有关部门协同处置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44.合同解除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44.1　发包人承包人协商一致，可以解除合同。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44.2　发生本通用条款第26.4款情况，停止施工超过56天，发包人仍不支付工程款（进度款），承包人有权解除合同。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44.3　发生本通用条款第38.2款禁止的情况，承包人将其承包的全部工程转包给他人或者肢解以后以分包的包义分别转包给他人，发包人有权解除合同。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44.4　有下列情形之一的，发包人承包人可以解除合同：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（1）因不可抗力致使合同无法履行；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（2）因一方违约（包括因发包人原因造成工程停建或缓建）致使合同无法履行。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44.5　一方依据44.2、44.3、44.4款约定要求解除合同的，应以书面形式向对方发出解除合同的通知，并在发出通知前7天告知对方，通知到达对方时合同解除。对解除合同有争议的，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44.6　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44.7　合同解除后，不影响双方在合同中约定的结算和清理条款的效力。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45.合同生效与终止</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45.1　双方在协议书中约定合同生效方式。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45.2　除本通用条款第34条外，发包人承包人履行合同全部义务，竣工结算价款支付完毕，承包人向发包人交付竣工工程后，本合同即告终止。</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45.3　合同的权利义务终止后，发包人承包人应当遵循诚实信用原则，履行通知、协助、保密等义务。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46.合同份数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46.1　本合同正本两份，具有同等效力，由发包人承包人分别保存一份。</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46.2　本合同副本份数，由双方根据需要在专用条款内约定。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47.补充条款。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双方根据有关法律、行政法规规定，结合工程实际，经协商一致后，可对本通用条款内容具体化、补充或修改，在专用条款内约定。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第三部分　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一、词语定义及合同文件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2.合同文件及解释顺序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合同文件组成及解释顺序：</w:t>
      </w:r>
      <w:r>
        <w:rPr>
          <w:color w:val="000000"/>
          <w:kern w:val="0"/>
          <w:sz w:val="24"/>
          <w:u w:val="single"/>
        </w:rPr>
        <w:t>（1）本合同协议书（2）工程的洽商、变更等书面协议（3）本合同专用条款（4）本合同通用条款（5）</w:t>
      </w:r>
      <w:r>
        <w:rPr>
          <w:rFonts w:hint="eastAsia"/>
          <w:color w:val="000000"/>
          <w:kern w:val="0"/>
          <w:sz w:val="24"/>
          <w:u w:val="single"/>
        </w:rPr>
        <w:t>询价</w:t>
      </w:r>
      <w:r>
        <w:rPr>
          <w:color w:val="000000"/>
          <w:kern w:val="0"/>
          <w:sz w:val="24"/>
          <w:u w:val="single"/>
        </w:rPr>
        <w:t>谈判文件（6）标准、规范及有关技术文件、技术要求（7）图纸（8）工程预算书。</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3.语言文字和适用法律、标准及规范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　本合同除使用汉语外，还使用＿＿＿＿语言文字。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　适用法律和法规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需要明示的法律、行政法规：＿＿＿＿＿＿＿＿＿＿＿＿＿＿＿＿＿＿＿＿＿＿＿＿＿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　适用标准、规范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适用标准、规范的名称：</w:t>
      </w:r>
      <w:r>
        <w:rPr>
          <w:color w:val="000000"/>
          <w:kern w:val="0"/>
          <w:sz w:val="24"/>
          <w:u w:val="single"/>
        </w:rPr>
        <w:t>《中华人民共和国建筑法》、《中华人民共和国合同法》、《中华人民共和国</w:t>
      </w:r>
      <w:r>
        <w:rPr>
          <w:rFonts w:hint="eastAsia"/>
          <w:color w:val="000000"/>
          <w:kern w:val="0"/>
          <w:sz w:val="24"/>
          <w:u w:val="single"/>
        </w:rPr>
        <w:t>询价响应</w:t>
      </w:r>
      <w:r>
        <w:rPr>
          <w:color w:val="000000"/>
          <w:kern w:val="0"/>
          <w:sz w:val="24"/>
          <w:u w:val="single"/>
        </w:rPr>
        <w:t xml:space="preserve">法》、《江苏省建设工程质量管理条例》及其它有关法律、法规。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发包人提供标准、规范的时间：＿＿＿＿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国内没有相应标准、规范时的约定：＿＿＿＿＿＿＿＿＿＿＿＿＿＿＿＿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4.图纸</w:t>
      </w:r>
    </w:p>
    <w:p>
      <w:pPr>
        <w:widowControl/>
        <w:shd w:val="clear" w:color="auto" w:fill="FFFFFF"/>
        <w:spacing w:line="330" w:lineRule="atLeast"/>
        <w:ind w:firstLine="480"/>
        <w:jc w:val="left"/>
        <w:rPr>
          <w:rFonts w:hint="eastAsia" w:ascii="宋体" w:hAnsi="宋体" w:cs="宋体"/>
          <w:color w:val="000000"/>
          <w:kern w:val="0"/>
          <w:sz w:val="24"/>
          <w:u w:val="single"/>
        </w:rPr>
      </w:pPr>
      <w:r>
        <w:rPr>
          <w:rFonts w:ascii="宋体" w:hAnsi="宋体" w:cs="宋体"/>
          <w:color w:val="000000"/>
          <w:kern w:val="0"/>
          <w:sz w:val="24"/>
        </w:rPr>
        <w:t>　　4.1　发包人向承包人提供图纸日期和套数：</w:t>
      </w:r>
      <w:r>
        <w:rPr>
          <w:rFonts w:hint="eastAsia" w:ascii="宋体" w:hAnsi="宋体" w:cs="宋体"/>
          <w:color w:val="000000"/>
          <w:kern w:val="0"/>
          <w:sz w:val="24"/>
          <w:u w:val="single"/>
        </w:rPr>
        <w:t xml:space="preserve">乙方向甲方提供具有与本工程相适应的资质，按甲方要求规划的路线施工。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发包人对图纸的保密要求：＿＿＿＿＿＿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使用国外图纸的要求及费用承担：＿＿＿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二、双方一般权利和义务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5.2　监理单位委派的工程师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姓名：＿＿＿＿＿职务：＿＿＿＿＿＿＿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发包人委托的职权：＿＿＿＿＿＿＿＿＿＿＿＿＿＿＿＿＿＿＿＿＿＿＿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需要取得发包人批准才能行使的职权：＿＿＿＿＿＿＿＿＿＿＿＿＿＿＿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5.3　发包人派驻的工程师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姓名：＿＿＿＿＿职务：＿＿＿＿＿＿＿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5.6　不实行监理的，工程师的职权：＿＿＿＿＿＿＿＿＿＿＿＿＿＿＿＿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w:t>
      </w:r>
      <w:r>
        <w:rPr>
          <w:rFonts w:hint="eastAsia" w:ascii="宋体" w:hAnsi="宋体" w:cs="宋体"/>
          <w:color w:val="000000"/>
          <w:kern w:val="0"/>
          <w:sz w:val="24"/>
          <w:u w:val="single"/>
        </w:rPr>
        <w:t xml:space="preserve"> </w:t>
      </w:r>
      <w:r>
        <w:rPr>
          <w:rFonts w:ascii="宋体" w:hAnsi="宋体" w:cs="宋体"/>
          <w:color w:val="000000"/>
          <w:kern w:val="0"/>
          <w:sz w:val="24"/>
        </w:rPr>
        <w:t>＿＿＿＿职务：＿＿＿＿＿＿＿＿</w:t>
      </w:r>
    </w:p>
    <w:p>
      <w:pPr>
        <w:widowControl/>
        <w:shd w:val="clear" w:color="auto" w:fill="FFFFFF"/>
        <w:spacing w:line="330" w:lineRule="atLeast"/>
        <w:ind w:firstLine="465"/>
        <w:jc w:val="left"/>
        <w:rPr>
          <w:rFonts w:hint="eastAsia" w:ascii="宋体" w:hAnsi="宋体" w:cs="宋体"/>
          <w:color w:val="000000"/>
          <w:kern w:val="0"/>
          <w:sz w:val="24"/>
          <w:u w:val="single"/>
        </w:rPr>
      </w:pPr>
      <w:r>
        <w:rPr>
          <w:rFonts w:ascii="宋体" w:hAnsi="宋体" w:cs="宋体"/>
          <w:color w:val="000000"/>
          <w:kern w:val="0"/>
          <w:sz w:val="24"/>
        </w:rPr>
        <w:t>姓名：</w:t>
      </w:r>
      <w:r>
        <w:rPr>
          <w:rFonts w:hint="eastAsia" w:ascii="宋体" w:hAnsi="宋体" w:cs="宋体"/>
          <w:color w:val="000000"/>
          <w:kern w:val="0"/>
          <w:sz w:val="24"/>
          <w:u w:val="single"/>
        </w:rPr>
        <w:t xml:space="preserve">         </w:t>
      </w:r>
      <w:r>
        <w:rPr>
          <w:rFonts w:ascii="宋体" w:hAnsi="宋体" w:cs="宋体"/>
          <w:color w:val="000000"/>
          <w:kern w:val="0"/>
          <w:sz w:val="24"/>
        </w:rPr>
        <w:t>职务：</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8.发包人工作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8.1　发包人应按约定的时间和要求完成以下工作：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（1）施工场地具备施工条件的要求及完成的时间：</w:t>
      </w:r>
      <w:r>
        <w:rPr>
          <w:color w:val="000000"/>
          <w:kern w:val="0"/>
          <w:sz w:val="24"/>
          <w:u w:val="single"/>
        </w:rPr>
        <w:t>已具备施工条件。</w:t>
      </w:r>
      <w:r>
        <w:rPr>
          <w:rFonts w:ascii="宋体" w:hAnsi="宋体" w:cs="宋体"/>
          <w:color w:val="000000"/>
          <w:kern w:val="0"/>
          <w:sz w:val="24"/>
        </w:rPr>
        <w:t>＿＿＿＿＿＿＿＿＿＿＿＿＿＿＿＿＿＿＿＿＿＿＿＿＿＿＿＿＿＿＿＿＿＿＿＿＿＿＿＿＿</w:t>
      </w:r>
    </w:p>
    <w:p>
      <w:pPr>
        <w:widowControl/>
        <w:numPr>
          <w:ilvl w:val="0"/>
          <w:numId w:val="5"/>
        </w:numPr>
        <w:shd w:val="clear" w:color="auto" w:fill="FFFFFF"/>
        <w:spacing w:line="330" w:lineRule="atLeast"/>
        <w:ind w:firstLine="480"/>
        <w:jc w:val="left"/>
        <w:rPr>
          <w:rFonts w:hint="eastAsia" w:ascii="宋体" w:hAnsi="宋体" w:cs="宋体"/>
          <w:color w:val="000000"/>
          <w:kern w:val="0"/>
          <w:sz w:val="24"/>
        </w:rPr>
      </w:pPr>
      <w:r>
        <w:rPr>
          <w:rFonts w:ascii="宋体" w:hAnsi="宋体" w:cs="宋体"/>
          <w:color w:val="000000"/>
          <w:kern w:val="0"/>
          <w:sz w:val="24"/>
        </w:rPr>
        <w:t>将施工所需的水、电、电讯线路接至施工场地的时间、地点和供应要求：</w:t>
      </w:r>
      <w:r>
        <w:rPr>
          <w:color w:val="000000"/>
          <w:kern w:val="0"/>
          <w:sz w:val="24"/>
          <w:u w:val="single"/>
        </w:rPr>
        <w:t>已具备施工条件。</w:t>
      </w:r>
      <w:r>
        <w:rPr>
          <w:rFonts w:ascii="宋体" w:hAnsi="宋体" w:cs="宋体"/>
          <w:color w:val="000000"/>
          <w:kern w:val="0"/>
          <w:sz w:val="24"/>
        </w:rPr>
        <w:t>＿＿</w:t>
      </w:r>
    </w:p>
    <w:p>
      <w:pPr>
        <w:widowControl/>
        <w:shd w:val="clear" w:color="auto" w:fill="FFFFFF"/>
        <w:spacing w:line="330" w:lineRule="atLeast"/>
        <w:ind w:firstLine="480"/>
        <w:jc w:val="left"/>
        <w:rPr>
          <w:rFonts w:ascii="宋体" w:hAnsi="宋体" w:cs="宋体"/>
          <w:color w:val="000000"/>
          <w:kern w:val="0"/>
          <w:sz w:val="24"/>
        </w:rPr>
      </w:pPr>
      <w:r>
        <w:rPr>
          <w:rFonts w:hint="eastAsia" w:ascii="宋体" w:hAnsi="宋体" w:cs="宋体"/>
          <w:b/>
          <w:kern w:val="0"/>
          <w:sz w:val="24"/>
          <w:u w:val="single"/>
        </w:rPr>
        <w:t>工程中水电由发包人提供，结算时统一扣除。</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（3）施工场地与公共道路的通道开通时间和要求：</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（4）工程地质和地下管线资料的提供时间：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（5）由发包人办理的施工所需证件、批件的名称和完成时间：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（6）水准点与座标控制点交验要求：</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（7）图纸会审和设计交底时间：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（8）协调处理施工场地周围地下管线和邻近建筑物、构筑物（含文物保护建筑）、古树名木的保护工作：＿＿＿＿＿＿＿＿＿＿＿＿＿＿＿＿＿＿＿＿＿＿＿＿＿＿＿＿＿＿＿＿＿＿＿＿＿＿＿＿＿＿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（9）双方约定发包人应做的其他工作：＿＿＿＿＿＿＿＿＿＿＿＿＿＿＿＿＿＿＿＿＿＿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8.2　发包人委托承包人办理的工作：＿＿＿＿＿＿＿＿＿＿＿＿＿＿＿＿＿＿＿＿＿＿＿＿＿＿＿＿＿＿＿＿＿＿＿＿＿＿＿＿＿＿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9.1　承包人应按约定时间和要求，完成以下工作：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（1）需由设计资质等级和业务范围允许的承包人完成的设计文件提交时间：＿</w:t>
      </w:r>
      <w:r>
        <w:rPr>
          <w:rFonts w:hint="eastAsia" w:ascii="宋体" w:hAnsi="宋体" w:cs="宋体"/>
          <w:color w:val="000000"/>
          <w:kern w:val="0"/>
          <w:sz w:val="24"/>
          <w:u w:val="single"/>
        </w:rPr>
        <w:t xml:space="preserve">乙方负责施工方案，并协调解决与设计有关的问题  </w:t>
      </w:r>
      <w:r>
        <w:rPr>
          <w:rFonts w:ascii="宋体" w:hAnsi="宋体" w:cs="宋体"/>
          <w:color w:val="000000"/>
          <w:kern w:val="0"/>
          <w:sz w:val="24"/>
        </w:rPr>
        <w:t>＿＿＿＿＿＿＿＿＿＿＿＿＿＿＿＿＿＿＿＿</w:t>
      </w:r>
    </w:p>
    <w:p>
      <w:pPr>
        <w:pStyle w:val="21"/>
        <w:ind w:firstLine="472" w:firstLineChars="196"/>
        <w:jc w:val="both"/>
        <w:rPr>
          <w:kern w:val="0"/>
        </w:rPr>
      </w:pPr>
      <w:r>
        <w:rPr>
          <w:rFonts w:ascii="宋体" w:hAnsi="宋体" w:cs="宋体"/>
          <w:color w:val="000000"/>
          <w:kern w:val="0"/>
          <w:sz w:val="24"/>
        </w:rPr>
        <w:t>（2）应提供计划、报表的名称及完成时间：</w:t>
      </w:r>
      <w:r>
        <w:rPr>
          <w:rFonts w:hint="eastAsia" w:ascii="宋体" w:hAnsi="宋体" w:cs="宋体"/>
          <w:color w:val="000000"/>
          <w:kern w:val="0"/>
          <w:sz w:val="24"/>
          <w:u w:val="single"/>
        </w:rPr>
        <w:t xml:space="preserve">  </w:t>
      </w:r>
      <w:r>
        <w:rPr>
          <w:color w:val="000000"/>
          <w:kern w:val="0"/>
          <w:sz w:val="24"/>
          <w:u w:val="single"/>
        </w:rPr>
        <w:t>进场</w:t>
      </w:r>
      <w:r>
        <w:rPr>
          <w:rFonts w:hint="eastAsia"/>
          <w:color w:val="000000"/>
          <w:kern w:val="0"/>
          <w:sz w:val="24"/>
          <w:u w:val="single"/>
        </w:rPr>
        <w:t>前</w:t>
      </w:r>
      <w:r>
        <w:rPr>
          <w:color w:val="000000"/>
          <w:kern w:val="0"/>
          <w:sz w:val="24"/>
          <w:u w:val="single"/>
        </w:rPr>
        <w:t xml:space="preserve">提供材料计划，向发包人及监理方提供详细的施工进度计划。  </w:t>
      </w:r>
      <w:r>
        <w:rPr>
          <w:rFonts w:hint="eastAsia" w:ascii="宋体" w:hAnsi="宋体" w:cs="宋体"/>
          <w:color w:val="000000"/>
          <w:kern w:val="0"/>
          <w:sz w:val="24"/>
          <w:u w:val="single"/>
        </w:rPr>
        <w:t xml:space="preserve">                      </w:t>
      </w:r>
      <w:r>
        <w:rPr>
          <w:kern w:val="0"/>
        </w:rPr>
        <w:t>　</w:t>
      </w:r>
    </w:p>
    <w:p>
      <w:pPr>
        <w:widowControl/>
        <w:shd w:val="clear" w:color="auto" w:fill="FFFFFF"/>
        <w:spacing w:line="330" w:lineRule="atLeast"/>
        <w:jc w:val="left"/>
        <w:rPr>
          <w:rFonts w:ascii="宋体" w:hAnsi="宋体" w:cs="宋体"/>
          <w:color w:val="000000"/>
          <w:kern w:val="0"/>
          <w:sz w:val="24"/>
          <w:u w:val="single"/>
        </w:rPr>
      </w:pPr>
      <w:r>
        <w:rPr>
          <w:rFonts w:ascii="宋体" w:hAnsi="宋体" w:cs="宋体"/>
          <w:color w:val="000000"/>
          <w:kern w:val="0"/>
          <w:sz w:val="24"/>
        </w:rPr>
        <w:t>　　（3）承担施工安全保卫工作及非夜间施工照明的责任和要求：</w:t>
      </w:r>
      <w:r>
        <w:rPr>
          <w:color w:val="000000"/>
          <w:kern w:val="0"/>
          <w:sz w:val="24"/>
          <w:u w:val="single"/>
        </w:rPr>
        <w:t>负责施工现场的安全责任。</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（4）向发包人提供的办公和生活房屋及设施的要求：＿＿＿＿＿＿＿＿＿＿＿＿＿＿＿＿＿＿＿＿＿＿＿＿＿＿＿＿＿＿＿＿＿＿＿＿＿＿＿＿＿＿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（5）需承包人办理的有关施工场地交通、环卫和施工噪音管理等手续：＿＿＿＿＿＿＿＿＿＿＿＿＿＿＿＿＿＿＿＿＿＿＿＿＿＿＿＿＿＿</w:t>
      </w:r>
    </w:p>
    <w:p>
      <w:pPr>
        <w:widowControl/>
        <w:shd w:val="clear" w:color="auto" w:fill="FFFFFF"/>
        <w:spacing w:line="330" w:lineRule="atLeast"/>
        <w:jc w:val="left"/>
        <w:rPr>
          <w:rFonts w:hint="eastAsia" w:ascii="宋体" w:hAnsi="宋体" w:cs="宋体"/>
          <w:color w:val="000000"/>
          <w:kern w:val="0"/>
          <w:sz w:val="24"/>
          <w:u w:val="single"/>
        </w:rPr>
      </w:pPr>
      <w:r>
        <w:rPr>
          <w:rFonts w:ascii="宋体" w:hAnsi="宋体" w:cs="宋体"/>
          <w:color w:val="000000"/>
          <w:kern w:val="0"/>
          <w:sz w:val="24"/>
        </w:rPr>
        <w:t>　　（6）已完工程成品保护的特殊要求及费用承担：＿</w:t>
      </w:r>
      <w:r>
        <w:rPr>
          <w:rFonts w:hint="eastAsia"/>
          <w:color w:val="000000"/>
          <w:kern w:val="0"/>
          <w:sz w:val="24"/>
          <w:u w:val="single"/>
        </w:rPr>
        <w:t>保护好原有房屋及周边绿化、排气管、消防管等，损坏由乙方负责修复或支付修复费用。</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（7）施工场地周围地下管线和邻近建筑物、构筑物（含文物保护建筑）、古树名木的保护要求及费用承担：</w:t>
      </w:r>
      <w:r>
        <w:rPr>
          <w:rFonts w:hint="eastAsia"/>
          <w:color w:val="000000"/>
          <w:kern w:val="0"/>
          <w:sz w:val="24"/>
          <w:u w:val="single"/>
        </w:rPr>
        <w:t>保护好四周的绿化、树木。</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（8）施工场地清洁卫生的要求：</w:t>
      </w:r>
      <w:r>
        <w:rPr>
          <w:color w:val="000000"/>
          <w:kern w:val="0"/>
          <w:sz w:val="24"/>
          <w:u w:val="single"/>
        </w:rPr>
        <w:t>按标准化施工现场要求办理。</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（9）双方约定承包人应做的其他工作：＿＿＿＿＿＿＿＿＿＿＿＿＿＿＿＿＿＿＿＿＿＿＿＿＿＿＿＿＿＿＿＿＿＿＿＿＿＿＿＿＿＿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三、施工组织设计和工期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10.进度计划</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10.1　承包人提供施工组织设计（施工方案）和进度计划的时间：</w:t>
      </w:r>
      <w:r>
        <w:rPr>
          <w:color w:val="000000"/>
          <w:kern w:val="0"/>
          <w:sz w:val="24"/>
          <w:u w:val="single"/>
        </w:rPr>
        <w:t xml:space="preserve">每周四报周进度计划。    </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工程师确认的时间：＿＿＿＿＿＿＿＿＿＿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10.2　群体工程中有关进度计划的要求：＿</w:t>
      </w:r>
      <w:r>
        <w:rPr>
          <w:color w:val="000000"/>
          <w:kern w:val="0"/>
          <w:sz w:val="24"/>
          <w:u w:val="single"/>
        </w:rPr>
        <w:t xml:space="preserve">收到承包人资料三天内予以确认，如逾期未确认也未提出意见，则视为认可。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13.工期延误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13.1　双方约定工期顺延的其他情况：</w:t>
      </w:r>
      <w:r>
        <w:rPr>
          <w:rFonts w:hint="eastAsia" w:ascii="宋体" w:hAnsi="宋体" w:cs="宋体"/>
          <w:color w:val="000000"/>
          <w:kern w:val="0"/>
          <w:sz w:val="24"/>
          <w:u w:val="single"/>
        </w:rPr>
        <w:t>①</w:t>
      </w:r>
      <w:r>
        <w:rPr>
          <w:color w:val="000000"/>
          <w:kern w:val="0"/>
          <w:sz w:val="24"/>
          <w:u w:val="single"/>
        </w:rPr>
        <w:t>由发包人原因延误和国家行政要求停工（非承包人责任）工期顺延。</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四、质量与验收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17.隐蔽工程和中间验收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17.1　双方约定中间验收部位：</w:t>
      </w:r>
      <w:r>
        <w:rPr>
          <w:rFonts w:hint="eastAsia" w:ascii="宋体" w:hAnsi="宋体" w:cs="宋体"/>
          <w:color w:val="000000"/>
          <w:kern w:val="0"/>
          <w:sz w:val="24"/>
          <w:u w:val="single"/>
        </w:rPr>
        <w:t xml:space="preserve">     </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19.工程试车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19.5　试车费用地承担：＿＿＿＿＿＿＿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五、安全施工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六、合同价款与支付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23.合同价款及调整</w:t>
      </w:r>
    </w:p>
    <w:p>
      <w:pPr>
        <w:widowControl/>
        <w:spacing w:line="330" w:lineRule="atLeast"/>
        <w:jc w:val="left"/>
        <w:rPr>
          <w:rFonts w:ascii="宋体" w:hAnsi="宋体" w:cs="宋体"/>
          <w:color w:val="000000"/>
          <w:kern w:val="0"/>
          <w:sz w:val="24"/>
        </w:rPr>
      </w:pPr>
      <w:r>
        <w:rPr>
          <w:rFonts w:ascii="宋体" w:hAnsi="宋体" w:cs="宋体"/>
          <w:color w:val="000000"/>
          <w:kern w:val="0"/>
          <w:sz w:val="24"/>
        </w:rPr>
        <w:t>　　23.2　本合同价款采用</w:t>
      </w:r>
      <w:r>
        <w:rPr>
          <w:rFonts w:hint="eastAsia" w:ascii="宋体" w:hAnsi="宋体" w:cs="宋体"/>
          <w:color w:val="000000"/>
          <w:kern w:val="0"/>
          <w:sz w:val="24"/>
          <w:u w:val="single"/>
        </w:rPr>
        <w:t xml:space="preserve">       </w:t>
      </w:r>
      <w:r>
        <w:rPr>
          <w:color w:val="000000"/>
          <w:kern w:val="0"/>
          <w:sz w:val="24"/>
          <w:u w:val="single"/>
        </w:rPr>
        <w:t>固定</w:t>
      </w:r>
      <w:r>
        <w:rPr>
          <w:rFonts w:hint="eastAsia"/>
          <w:color w:val="000000"/>
          <w:kern w:val="0"/>
          <w:sz w:val="24"/>
          <w:u w:val="single"/>
        </w:rPr>
        <w:t>单价</w:t>
      </w:r>
      <w:r>
        <w:rPr>
          <w:color w:val="000000"/>
          <w:kern w:val="0"/>
          <w:sz w:val="24"/>
          <w:u w:val="single"/>
        </w:rPr>
        <w:t>合同</w:t>
      </w:r>
      <w:r>
        <w:rPr>
          <w:rFonts w:ascii="宋体" w:hAnsi="宋体" w:cs="宋体"/>
          <w:color w:val="000000"/>
          <w:kern w:val="0"/>
          <w:sz w:val="24"/>
        </w:rPr>
        <w:t>＿＿＿＿＿＿＿＿方式确定。</w:t>
      </w:r>
    </w:p>
    <w:p>
      <w:pPr>
        <w:pStyle w:val="9"/>
        <w:numPr>
          <w:ilvl w:val="0"/>
          <w:numId w:val="6"/>
        </w:numPr>
        <w:ind w:firstLine="480"/>
        <w:rPr>
          <w:rFonts w:hint="eastAsia" w:ascii="宋体" w:hAnsi="宋体"/>
          <w:sz w:val="24"/>
          <w:szCs w:val="24"/>
          <w:u w:val="single"/>
        </w:rPr>
      </w:pPr>
      <w:r>
        <w:rPr>
          <w:rFonts w:ascii="宋体" w:hAnsi="宋体" w:cs="宋体"/>
          <w:color w:val="000000"/>
          <w:kern w:val="0"/>
          <w:sz w:val="24"/>
        </w:rPr>
        <w:t>采用固定价格合同，合同价款中包括的风险范围：</w:t>
      </w:r>
      <w:r>
        <w:rPr>
          <w:rFonts w:hint="eastAsia" w:ascii="宋体" w:hAnsi="宋体"/>
          <w:sz w:val="24"/>
          <w:szCs w:val="24"/>
          <w:u w:val="single"/>
        </w:rPr>
        <w:t>各种因素引起的材料价格、人工工资、施工机械使用费、管理费、利润等变化及风险因素。结算时不调整；</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合同约定的开、竣工期间的政策风险，不调整；</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总价措施费结算时按响应费率执行；</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单价措施费中脚手架、模板根据工程量发生变化同比例调整，其他不调整。</w:t>
      </w:r>
    </w:p>
    <w:p>
      <w:pPr>
        <w:pStyle w:val="9"/>
        <w:ind w:firstLine="480"/>
        <w:rPr>
          <w:rFonts w:hint="eastAsia" w:ascii="宋体" w:hAnsi="宋体"/>
          <w:sz w:val="24"/>
          <w:szCs w:val="24"/>
          <w:u w:val="single"/>
        </w:rPr>
      </w:pPr>
      <w:r>
        <w:rPr>
          <w:rFonts w:hint="eastAsia" w:ascii="宋体" w:hAnsi="宋体"/>
          <w:sz w:val="24"/>
          <w:szCs w:val="24"/>
        </w:rPr>
        <w:t>综合单价包括为完成工程量清单项目，每计量单位工程量所需的人工费、材料费（充分考虑材料规格尺寸、损耗及钢筋接头等）、采购保管费、材料检验试验费、施工机械使用费、企业管理费、利润，同时包含风险费用及虚拟工程量与实际工程量存在一定偏差等因素的影响及发包人的特殊要求等而增加的费用，并已包含询价文件及合同中要求的所有责任、任务和不可抗力以外的一切风险因素，该综合单价作为结算的依据，除双方另有约定外不得调整，该综合单价及相关费用亦不因时间的推移、市场波动和政策变化等任何因素而调整。</w:t>
      </w:r>
    </w:p>
    <w:p>
      <w:pPr>
        <w:widowControl/>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pacing w:line="330" w:lineRule="atLeast"/>
        <w:jc w:val="left"/>
        <w:rPr>
          <w:rFonts w:ascii="宋体" w:hAnsi="宋体" w:cs="宋体"/>
          <w:color w:val="000000"/>
          <w:kern w:val="0"/>
          <w:sz w:val="24"/>
        </w:rPr>
      </w:pPr>
      <w:r>
        <w:rPr>
          <w:rFonts w:ascii="宋体" w:hAnsi="宋体" w:cs="宋体"/>
          <w:color w:val="000000"/>
          <w:kern w:val="0"/>
          <w:sz w:val="24"/>
        </w:rPr>
        <w:t>　　风险费用的计算方法：＿＿＿＿＿＿＿＿＿＿＿＿＿＿＿＿＿＿＿＿＿＿＿</w:t>
      </w:r>
    </w:p>
    <w:p>
      <w:pPr>
        <w:tabs>
          <w:tab w:val="left" w:pos="720"/>
        </w:tabs>
        <w:spacing w:line="480" w:lineRule="exact"/>
        <w:ind w:firstLine="540" w:firstLineChars="225"/>
        <w:rPr>
          <w:rFonts w:ascii="宋体" w:hAnsi="宋体" w:cs="宋体"/>
          <w:color w:val="000000"/>
          <w:kern w:val="0"/>
          <w:sz w:val="24"/>
        </w:rPr>
      </w:pPr>
      <w:r>
        <w:rPr>
          <w:rFonts w:ascii="宋体" w:hAnsi="宋体" w:cs="宋体"/>
          <w:color w:val="000000"/>
          <w:kern w:val="0"/>
          <w:sz w:val="24"/>
        </w:rPr>
        <w:t>风险范围以外合同价款调整方法：</w:t>
      </w:r>
    </w:p>
    <w:p>
      <w:pPr>
        <w:numPr>
          <w:ilvl w:val="0"/>
          <w:numId w:val="7"/>
        </w:numPr>
        <w:tabs>
          <w:tab w:val="left" w:pos="720"/>
        </w:tabs>
        <w:spacing w:line="480" w:lineRule="exact"/>
        <w:ind w:firstLine="540" w:firstLineChars="225"/>
        <w:rPr>
          <w:rFonts w:hint="eastAsia" w:ascii="宋体" w:hAnsi="宋体" w:cs="宋体"/>
          <w:color w:val="000000"/>
          <w:kern w:val="0"/>
          <w:sz w:val="24"/>
        </w:rPr>
      </w:pPr>
      <w:r>
        <w:rPr>
          <w:rFonts w:hint="eastAsia" w:ascii="宋体" w:hAnsi="宋体" w:cs="宋体"/>
          <w:color w:val="000000"/>
          <w:kern w:val="0"/>
          <w:sz w:val="24"/>
        </w:rPr>
        <w:t>建设方批准的设计变更、签证；</w:t>
      </w:r>
    </w:p>
    <w:p>
      <w:pPr>
        <w:numPr>
          <w:ilvl w:val="0"/>
          <w:numId w:val="7"/>
        </w:numPr>
        <w:tabs>
          <w:tab w:val="left" w:pos="720"/>
        </w:tabs>
        <w:spacing w:line="480" w:lineRule="exact"/>
        <w:ind w:firstLine="540" w:firstLineChars="225"/>
        <w:rPr>
          <w:rFonts w:hint="eastAsia" w:ascii="宋体" w:hAnsi="宋体" w:cs="宋体"/>
          <w:color w:val="000000"/>
          <w:kern w:val="0"/>
          <w:sz w:val="24"/>
        </w:rPr>
      </w:pPr>
      <w:r>
        <w:rPr>
          <w:rFonts w:hint="eastAsia" w:ascii="宋体" w:hAnsi="宋体" w:cs="宋体"/>
          <w:color w:val="000000"/>
          <w:kern w:val="0"/>
          <w:sz w:val="24"/>
        </w:rPr>
        <w:t>上述变更引起的工程量清单项目，对应的综合单价按下列方法确定：</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①工程量清单项目项目特征与响应报价项目中相同的，按响应报价的综合单价计算；</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②新增工程量清单项目的项目特征与响应报价中类似的，综合单价按类似工程的材料、人工、机械台班、管理费、利润执行；</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③响应报价中没有综合单价的新的工程量清单项目：工程量清单执行《建设工程工程量清单计价规范》GB50500-2013、《房屋建筑与装饰工程工程量计算规范》GB50854-2013、《通用安装工程工程量计算规范》GB 50856-2013、《市政工程工程量计算规范》GB50857-2013、《园林绿化工程工程量计算规范》GB50858-2013、定额执行2014年《江苏省建筑与装饰工程计价定额》、《江苏省安装工程计价定额》、《江苏省市政工程计价定额》、2007年《江苏仿古建筑与园林工程计价表》、取费执行《江苏省建设工程费用定额》（2014）、江苏营改增苏建价〔2016〕154号文执行标准；人、材、机响应中已有的执行响应报价，响应中没有的，由成本人申报，发包人确认后计入；管理费、利润率执行本专业响应报价费率，同一标段管理费、利润费率不一致的，执行该标段同专业最低管理费、利润率。</w:t>
      </w:r>
    </w:p>
    <w:p>
      <w:pPr>
        <w:tabs>
          <w:tab w:val="left" w:pos="720"/>
        </w:tabs>
        <w:spacing w:line="480" w:lineRule="exact"/>
        <w:rPr>
          <w:rFonts w:hint="eastAsia" w:ascii="宋体" w:hAnsi="宋体" w:cs="宋体"/>
          <w:color w:val="000000"/>
          <w:kern w:val="0"/>
          <w:sz w:val="24"/>
          <w:highlight w:val="yellow"/>
        </w:rPr>
      </w:pP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（2）采用可调价格合同，合同价款调整方法：＿＿＿＿＿＿＿＿＿＿＿＿＿＿＿＿＿＿＿＿＿＿＿＿＿＿＿＿＿＿＿＿＿＿＿＿＿＿＿＿＿＿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（3）采用成本加酬金合同，有关成本和酬金的约定：＿＿＿＿＿＿＿＿＿＿＿＿＿＿＿＿＿＿＿＿＿＿＿＿＿＿＿＿＿＿＿＿＿＿＿＿＿＿＿＿＿＿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23.3　双方约定合同价款的其他调整因素：＿＿＿＿＿＿＿＿＿＿＿＿＿＿＿＿＿＿＿＿＿＿＿＿＿＿＿＿＿＿＿＿＿＿＿＿＿＿＿＿＿＿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24.工程预付款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发包人向承包人预付工程款的时间和金额或占合同价款总额的比例：＿＿＿＿＿＿＿＿＿＿＿＿＿＿＿＿＿＿＿＿＿＿＿＿＿＿＿＿＿＿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扣回工程款的时间、比例：＿＿＿＿＿＿＿＿＿＿＿＿＿＿＿＿＿＿＿＿＿＿＿＿＿＿＿＿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kern w:val="0"/>
          <w:sz w:val="24"/>
        </w:rPr>
      </w:pPr>
      <w:r>
        <w:rPr>
          <w:rFonts w:ascii="宋体" w:hAnsi="宋体" w:cs="宋体"/>
          <w:color w:val="FF0000"/>
          <w:kern w:val="0"/>
          <w:sz w:val="24"/>
        </w:rPr>
        <w:t>　　</w:t>
      </w:r>
      <w:r>
        <w:rPr>
          <w:rFonts w:ascii="宋体" w:hAnsi="宋体" w:cs="宋体"/>
          <w:kern w:val="0"/>
          <w:sz w:val="24"/>
        </w:rPr>
        <w:t>25.工程量确认</w:t>
      </w:r>
    </w:p>
    <w:p>
      <w:pPr>
        <w:widowControl/>
        <w:shd w:val="clear" w:color="auto" w:fill="FFFFFF"/>
        <w:spacing w:line="330" w:lineRule="atLeast"/>
        <w:jc w:val="left"/>
        <w:rPr>
          <w:rFonts w:ascii="宋体" w:hAnsi="宋体" w:cs="宋体"/>
          <w:kern w:val="0"/>
          <w:sz w:val="24"/>
        </w:rPr>
      </w:pPr>
      <w:r>
        <w:rPr>
          <w:rFonts w:ascii="宋体" w:hAnsi="宋体" w:cs="宋体"/>
          <w:color w:val="FF0000"/>
          <w:kern w:val="0"/>
          <w:sz w:val="24"/>
        </w:rPr>
        <w:t>　</w:t>
      </w:r>
      <w:r>
        <w:rPr>
          <w:rFonts w:ascii="宋体" w:hAnsi="宋体" w:cs="宋体"/>
          <w:kern w:val="0"/>
          <w:sz w:val="24"/>
        </w:rPr>
        <w:t>　25.1　承包人向工程师提交已完工程量报告的时间：＿＿＿＿＿＿＿＿＿＿＿＿＿＿＿＿＿＿＿＿＿＿＿＿＿＿＿＿＿＿＿＿＿＿＿＿＿＿＿＿＿＿</w:t>
      </w:r>
    </w:p>
    <w:p>
      <w:pPr>
        <w:widowControl/>
        <w:shd w:val="clear" w:color="auto" w:fill="FFFFFF"/>
        <w:spacing w:line="330" w:lineRule="atLeast"/>
        <w:jc w:val="left"/>
        <w:rPr>
          <w:rFonts w:ascii="宋体" w:hAnsi="宋体" w:cs="宋体"/>
          <w:kern w:val="0"/>
          <w:sz w:val="24"/>
        </w:rPr>
      </w:pPr>
      <w:r>
        <w:rPr>
          <w:rFonts w:ascii="宋体" w:hAnsi="宋体" w:cs="宋体"/>
          <w:kern w:val="0"/>
          <w:sz w:val="24"/>
        </w:rPr>
        <w:t>　　</w:t>
      </w:r>
    </w:p>
    <w:p>
      <w:pPr>
        <w:widowControl/>
        <w:shd w:val="clear" w:color="auto" w:fill="FFFFFF"/>
        <w:spacing w:line="330" w:lineRule="atLeast"/>
        <w:jc w:val="left"/>
        <w:rPr>
          <w:rFonts w:ascii="宋体" w:hAnsi="宋体" w:cs="宋体"/>
          <w:kern w:val="0"/>
          <w:sz w:val="24"/>
        </w:rPr>
      </w:pPr>
      <w:r>
        <w:rPr>
          <w:rFonts w:ascii="宋体" w:hAnsi="宋体" w:cs="宋体"/>
          <w:kern w:val="0"/>
          <w:sz w:val="24"/>
        </w:rPr>
        <w:t>　　26.工程款（进度款）支付</w:t>
      </w:r>
    </w:p>
    <w:p>
      <w:pPr>
        <w:spacing w:after="156" w:afterLines="50" w:line="500" w:lineRule="exact"/>
        <w:ind w:firstLine="480" w:firstLineChars="200"/>
        <w:rPr>
          <w:rFonts w:hint="eastAsia" w:ascii="宋体" w:hAnsi="宋体" w:cs="宋体"/>
          <w:color w:val="000000"/>
          <w:kern w:val="0"/>
          <w:sz w:val="24"/>
        </w:rPr>
      </w:pPr>
      <w:r>
        <w:rPr>
          <w:rFonts w:hint="eastAsia" w:ascii="宋体" w:hAnsi="宋体" w:cs="宋体"/>
          <w:color w:val="000000"/>
          <w:kern w:val="0"/>
          <w:sz w:val="24"/>
        </w:rPr>
        <w:t>竣工并通过验收，付至合同价的60%；审计完毕付至审核结算价（全额发票）的95%；质保期满后无质量缺陷将5%尾款一次性免息支付。</w:t>
      </w:r>
    </w:p>
    <w:p>
      <w:pPr>
        <w:spacing w:after="156" w:afterLines="50" w:line="500" w:lineRule="exact"/>
        <w:ind w:firstLine="480" w:firstLineChars="200"/>
        <w:rPr>
          <w:rFonts w:ascii="宋体" w:hAnsi="宋体" w:cs="宋体"/>
          <w:color w:val="000000"/>
          <w:kern w:val="0"/>
          <w:sz w:val="24"/>
        </w:rPr>
      </w:pPr>
      <w:r>
        <w:rPr>
          <w:rFonts w:ascii="宋体" w:hAnsi="宋体" w:cs="宋体"/>
          <w:color w:val="000000"/>
          <w:kern w:val="0"/>
          <w:sz w:val="24"/>
        </w:rPr>
        <w:t>七、材料设备供应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27.发包人供应材料设备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27.4　发包人供应的材料设备与一览表不符时，双方约定发包人承担责任如下：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（1）材料设备单价与一览表不符：＿＿＿＿＿＿＿＿＿＿＿＿＿＿＿＿＿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（2）材料设备的品种、规格、型号、质量等级与一览表不符：＿＿＿＿＿＿＿＿＿＿＿＿＿＿＿＿＿＿＿＿＿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（3）承包人可代为调剂串换的材料：＿＿＿＿＿＿＿＿＿＿＿＿＿＿＿＿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（4）到货地点与一览表不符：＿＿＿＿＿＿＿＿＿＿＿＿＿＿＿＿＿＿＿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（5）供应数量与一览表不符：＿＿＿＿＿＿＿＿＿＿＿＿＿＿＿＿＿＿＿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（6）到货时间与一览表不符：＿＿＿＿＿＿＿＿＿＿＿＿＿＿＿＿＿＿＿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27.6　发包人供应材料设备的结算方法：＿＿＿＿＿＿＿＿＿＿＿＿＿＿＿＿＿＿＿＿＿＿＿＿＿＿＿＿＿＿＿＿＿＿＿＿＿＿＿＿＿＿＿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28.承包人采购材料设备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28.1　承包人采购材料设备的约定：＿＿＿＿＿＿＿＿＿＿＿＿＿＿＿＿＿＿＿＿＿＿＿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八、工程变更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九、竣工验收与结算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32.竣工验收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32.1　承包人提供竣工图的约定：</w:t>
      </w:r>
      <w:r>
        <w:rPr>
          <w:rFonts w:hint="eastAsia" w:ascii="宋体" w:hAnsi="宋体" w:cs="宋体"/>
          <w:color w:val="FF6600"/>
          <w:kern w:val="0"/>
          <w:sz w:val="24"/>
          <w:u w:val="single"/>
        </w:rPr>
        <w:t xml:space="preserve">工程竣工验收合格后15天内向甲提供竣工图。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32.6　中间交工工程的范围和竣工时间：</w:t>
      </w:r>
      <w:r>
        <w:rPr>
          <w:rFonts w:hint="eastAsia" w:ascii="宋体" w:hAnsi="宋体" w:cs="宋体"/>
          <w:color w:val="000000"/>
          <w:kern w:val="0"/>
          <w:sz w:val="24"/>
          <w:u w:val="single"/>
        </w:rPr>
        <w:t>双方协商</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十、违约、索赔和争议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35.违约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35.1　本合同中关于发包人违约的具体责任如下：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本合同通用条款第24条约定发包人违约应承担的违约责任：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本合同通用条款第33.3款约定发包人违约定发应承担的违约责任：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双方约定的发包人其他违约责任：＿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35.2　本合同中关于承包人违约的具体责任如下：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本合同通用条款第14.2款约定承包人违约应承担的违约责任：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本合同通用条款第15.1款约定承包人违约应承担的违约责任：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双方约定的承包人其他违约责任：＿＿＿＿＿＿＿＿＿＿＿＿＿＿＿＿＿＿＿＿＿＿＿＿＿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37.1　本合同在履行过程中发生的争议，由双方当事人协商解决，协商不成的按下列第种方式解决：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（一）提交仲裁委员会仲裁；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（二）依法向人民法院起诉。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十一、其他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38.工程分包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38.1　本工程发包人同意承包人分包的工程：＿＿＿＿＿＿＿＿＿＿＿＿＿＿＿＿＿＿＿＿＿＿＿＿＿＿＿＿＿＿＿＿＿＿＿＿＿＿＿＿＿＿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分包施工单位为：＿＿＿＿＿＿＿＿＿＿＿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39.1　双方关于不可抗力的约定：＿</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40.保险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40.6　本工程双方约定投保内容如下：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（1）发包人投保内容：＿＿＿＿＿＿＿＿＿＿＿＿＿＿＿＿＿＿＿＿＿＿＿＿＿＿＿＿＿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发包人委托承包人办理的保险事项：＿＿＿＿＿＿＿＿＿＿＿＿＿＿＿＿＿＿＿＿＿＿＿＿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（2）承包人投保内容：＿＿＿＿＿＿＿＿＿＿＿＿＿＿＿＿＿＿＿＿＿＿＿＿＿＿＿＿＿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41.3　本工程双方约定担保事项如下：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（1）发包人向承包人提供履约担保，担保方式为：＿＿＿＿＿＿＿＿＿＿＿＿担保合同作为本合同附件。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（2）承包人向发包人提供履约担保，担保方式为：＿＿＿＿＿＿＿＿＿＿＿＿担保合同作为本合同附件。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（3）双方约定的其他担保事项：＿＿＿＿＿＿＿＿＿＿＿＿＿＿＿＿＿＿＿＿＿＿＿＿＿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hint="eastAsia" w:ascii="宋体" w:hAnsi="宋体" w:cs="宋体"/>
          <w:kern w:val="0"/>
          <w:sz w:val="24"/>
          <w:szCs w:val="22"/>
          <w:u w:val="single"/>
        </w:rPr>
      </w:pPr>
      <w:r>
        <w:rPr>
          <w:rFonts w:ascii="宋体" w:hAnsi="宋体" w:cs="宋体"/>
          <w:color w:val="000000"/>
          <w:kern w:val="0"/>
          <w:sz w:val="24"/>
        </w:rPr>
        <w:t>　　46.合同份数</w:t>
      </w:r>
    </w:p>
    <w:p>
      <w:pPr>
        <w:widowControl/>
        <w:shd w:val="clear" w:color="auto" w:fill="FFFFFF"/>
        <w:spacing w:line="330" w:lineRule="atLeast"/>
        <w:jc w:val="left"/>
        <w:rPr>
          <w:rFonts w:hint="eastAsia" w:ascii="宋体" w:hAnsi="宋体" w:cs="宋体"/>
          <w:kern w:val="0"/>
          <w:sz w:val="24"/>
          <w:szCs w:val="22"/>
          <w:u w:val="single"/>
        </w:rPr>
      </w:pPr>
      <w:r>
        <w:rPr>
          <w:rFonts w:hint="eastAsia" w:ascii="宋体" w:hAnsi="宋体" w:cs="宋体"/>
          <w:kern w:val="0"/>
          <w:sz w:val="24"/>
          <w:szCs w:val="22"/>
          <w:u w:val="single"/>
        </w:rPr>
        <w:t>　　46.1　双方约定合同份数：捌份，甲方</w:t>
      </w:r>
      <w:r>
        <w:rPr>
          <w:rFonts w:ascii="宋体" w:hAnsi="宋体" w:cs="宋体"/>
          <w:kern w:val="0"/>
          <w:sz w:val="24"/>
          <w:szCs w:val="22"/>
          <w:u w:val="single"/>
        </w:rPr>
        <w:t>柒</w:t>
      </w:r>
      <w:r>
        <w:rPr>
          <w:rFonts w:hint="eastAsia" w:ascii="宋体" w:hAnsi="宋体" w:cs="宋体"/>
          <w:kern w:val="0"/>
          <w:sz w:val="24"/>
          <w:szCs w:val="22"/>
          <w:u w:val="single"/>
        </w:rPr>
        <w:t>份，乙方</w:t>
      </w:r>
      <w:r>
        <w:rPr>
          <w:rFonts w:ascii="宋体" w:hAnsi="宋体" w:cs="宋体"/>
          <w:kern w:val="0"/>
          <w:sz w:val="24"/>
          <w:szCs w:val="22"/>
          <w:u w:val="single"/>
        </w:rPr>
        <w:t>壹</w:t>
      </w:r>
      <w:r>
        <w:rPr>
          <w:rFonts w:hint="eastAsia" w:ascii="宋体" w:hAnsi="宋体" w:cs="宋体"/>
          <w:kern w:val="0"/>
          <w:sz w:val="24"/>
          <w:szCs w:val="22"/>
          <w:u w:val="single"/>
        </w:rPr>
        <w:t>份＿＿＿</w:t>
      </w:r>
    </w:p>
    <w:p>
      <w:pPr>
        <w:widowControl/>
        <w:shd w:val="clear" w:color="auto" w:fill="FFFFFF"/>
        <w:spacing w:line="330" w:lineRule="atLeast"/>
        <w:jc w:val="left"/>
        <w:rPr>
          <w:rFonts w:ascii="宋体" w:hAnsi="宋体" w:cs="宋体"/>
          <w:kern w:val="0"/>
          <w:sz w:val="24"/>
          <w:u w:val="single"/>
        </w:rPr>
      </w:pPr>
      <w:r>
        <w:rPr>
          <w:rFonts w:ascii="宋体" w:hAnsi="宋体" w:cs="宋体"/>
          <w:kern w:val="0"/>
          <w:sz w:val="24"/>
        </w:rPr>
        <w:t>　　47.补充条款</w:t>
      </w:r>
      <w:r>
        <w:rPr>
          <w:rFonts w:hint="eastAsia" w:ascii="宋体" w:hAnsi="宋体" w:cs="宋体"/>
          <w:kern w:val="0"/>
          <w:sz w:val="24"/>
          <w:u w:val="single"/>
        </w:rPr>
        <w:t>1、本工程根据固定综合单价，工程量采用按实结算的方法。2、</w:t>
      </w:r>
      <w:r>
        <w:rPr>
          <w:rFonts w:ascii="宋体" w:hAnsi="宋体" w:cs="宋体"/>
          <w:kern w:val="0"/>
          <w:sz w:val="24"/>
          <w:u w:val="single"/>
        </w:rPr>
        <w:t xml:space="preserve">进场前工人必须体检，持有健康证的工人才能进场施工。          </w:t>
      </w:r>
    </w:p>
    <w:p>
      <w:pPr>
        <w:widowControl/>
        <w:shd w:val="clear" w:color="auto" w:fill="FFFFFF"/>
        <w:spacing w:line="330" w:lineRule="atLeast"/>
        <w:ind w:firstLine="480" w:firstLineChars="200"/>
        <w:jc w:val="left"/>
        <w:rPr>
          <w:rFonts w:hint="eastAsia" w:ascii="宋体" w:hAnsi="宋体" w:cs="宋体"/>
          <w:kern w:val="0"/>
          <w:sz w:val="24"/>
          <w:u w:val="single"/>
        </w:rPr>
      </w:pPr>
      <w:r>
        <w:rPr>
          <w:rFonts w:hint="eastAsia" w:ascii="宋体" w:hAnsi="宋体" w:cs="宋体"/>
          <w:kern w:val="0"/>
          <w:sz w:val="24"/>
          <w:u w:val="single"/>
        </w:rPr>
        <w:t>3、</w:t>
      </w:r>
      <w:r>
        <w:rPr>
          <w:rFonts w:ascii="宋体" w:hAnsi="宋体" w:cs="宋体"/>
          <w:kern w:val="0"/>
          <w:sz w:val="24"/>
          <w:u w:val="single"/>
        </w:rPr>
        <w:t>承包人及时支付材料款和农民工工资，不得拖欠，否则发包人有权直接支付，并从工程款中扣除。</w:t>
      </w:r>
    </w:p>
    <w:p>
      <w:pPr>
        <w:widowControl/>
        <w:shd w:val="clear" w:color="auto" w:fill="FFFFFF"/>
        <w:spacing w:line="330" w:lineRule="atLeast"/>
        <w:ind w:firstLine="480" w:firstLineChars="200"/>
        <w:jc w:val="left"/>
        <w:rPr>
          <w:rFonts w:hint="eastAsia" w:ascii="宋体" w:hAnsi="宋体" w:cs="宋体"/>
          <w:kern w:val="0"/>
          <w:sz w:val="24"/>
          <w:u w:val="single"/>
        </w:rPr>
      </w:pPr>
      <w:r>
        <w:rPr>
          <w:rFonts w:hint="eastAsia" w:ascii="宋体" w:hAnsi="宋体" w:cs="宋体"/>
          <w:kern w:val="0"/>
          <w:sz w:val="24"/>
          <w:u w:val="single"/>
        </w:rPr>
        <w:t>4、</w:t>
      </w:r>
      <w:r>
        <w:rPr>
          <w:rFonts w:hint="eastAsia" w:ascii="宋体" w:hAnsi="宋体"/>
          <w:sz w:val="24"/>
          <w:szCs w:val="24"/>
          <w:u w:val="single"/>
        </w:rPr>
        <w:t>单项工程前期技术服务费用（施工方案、询价控制价、询价清单等编制）由成交单位支付，支付时间为成交后10个工作日内。</w:t>
      </w:r>
    </w:p>
    <w:p>
      <w:pPr>
        <w:widowControl/>
        <w:shd w:val="clear" w:color="auto" w:fill="FFFFFF"/>
        <w:spacing w:line="330" w:lineRule="atLeast"/>
        <w:ind w:firstLine="472" w:firstLineChars="196"/>
        <w:jc w:val="left"/>
        <w:rPr>
          <w:rFonts w:hint="eastAsia" w:ascii="宋体" w:hAnsi="宋体" w:cs="宋体"/>
          <w:b/>
          <w:kern w:val="0"/>
          <w:sz w:val="24"/>
          <w:u w:val="single"/>
        </w:rPr>
      </w:pPr>
      <w:r>
        <w:rPr>
          <w:rFonts w:hint="eastAsia" w:ascii="宋体" w:hAnsi="宋体" w:cs="宋体"/>
          <w:b/>
          <w:kern w:val="0"/>
          <w:sz w:val="24"/>
          <w:u w:val="single"/>
        </w:rPr>
        <w:t>5、按规定竣工日期完成项目，每推迟一天，罚款3000元。</w:t>
      </w:r>
    </w:p>
    <w:p>
      <w:pPr>
        <w:pStyle w:val="20"/>
        <w:spacing w:before="156" w:beforeLines="50" w:beforeAutospacing="0" w:after="156" w:afterLines="50" w:afterAutospacing="0" w:line="400" w:lineRule="exact"/>
        <w:ind w:firstLine="480" w:firstLineChars="200"/>
      </w:pPr>
      <w:r>
        <w:rPr>
          <w:rFonts w:hint="eastAsia"/>
        </w:rPr>
        <w:t>6、高校建设项目结算审计，应按下列规定支付审计费用：</w:t>
      </w:r>
      <w:r>
        <w:br w:type="textWrapping"/>
      </w:r>
      <w:r>
        <w:rPr>
          <w:rFonts w:hint="eastAsia"/>
        </w:rPr>
        <w:t>（一）单项工程核减率超过</w:t>
      </w:r>
      <w:r>
        <w:t>10%</w:t>
      </w:r>
      <w:r>
        <w:rPr>
          <w:rFonts w:hint="eastAsia"/>
        </w:rPr>
        <w:t>的，其审计费用全部由乙方承担，并由甲方从乙方工程款中扣除（下同）；</w:t>
      </w:r>
      <w:r>
        <w:br w:type="textWrapping"/>
      </w:r>
      <w:r>
        <w:rPr>
          <w:rFonts w:hint="eastAsia"/>
        </w:rPr>
        <w:t>（二）单项工程核减率在</w:t>
      </w:r>
      <w:r>
        <w:t>8%—10%</w:t>
      </w:r>
      <w:r>
        <w:rPr>
          <w:rFonts w:hint="eastAsia"/>
        </w:rPr>
        <w:t>（含</w:t>
      </w:r>
      <w:r>
        <w:t>10%</w:t>
      </w:r>
      <w:r>
        <w:rPr>
          <w:rFonts w:hint="eastAsia"/>
        </w:rPr>
        <w:t>）之间的，其审计费用由甲方承担</w:t>
      </w:r>
      <w:r>
        <w:t>20%</w:t>
      </w:r>
      <w:r>
        <w:rPr>
          <w:rFonts w:hint="eastAsia"/>
        </w:rPr>
        <w:t>，乙方承担</w:t>
      </w:r>
      <w:r>
        <w:t>80%</w:t>
      </w:r>
      <w:r>
        <w:rPr>
          <w:rFonts w:hint="eastAsia"/>
        </w:rPr>
        <w:t>；</w:t>
      </w:r>
      <w:r>
        <w:br w:type="textWrapping"/>
      </w:r>
      <w:r>
        <w:rPr>
          <w:rFonts w:hint="eastAsia"/>
        </w:rPr>
        <w:t>（三）单项工程核减率在</w:t>
      </w:r>
      <w:r>
        <w:t>5%—8%</w:t>
      </w:r>
      <w:r>
        <w:rPr>
          <w:rFonts w:hint="eastAsia"/>
        </w:rPr>
        <w:t>（含</w:t>
      </w:r>
      <w:r>
        <w:t>8%</w:t>
      </w:r>
      <w:r>
        <w:rPr>
          <w:rFonts w:hint="eastAsia"/>
        </w:rPr>
        <w:t>）之间的，其审计费用由乙方承担</w:t>
      </w:r>
      <w:r>
        <w:t>20%</w:t>
      </w:r>
      <w:r>
        <w:rPr>
          <w:rFonts w:hint="eastAsia"/>
        </w:rPr>
        <w:t>，甲方承担</w:t>
      </w:r>
      <w:r>
        <w:t>80%</w:t>
      </w:r>
      <w:r>
        <w:rPr>
          <w:rFonts w:hint="eastAsia"/>
        </w:rPr>
        <w:t>；</w:t>
      </w:r>
      <w:r>
        <w:br w:type="textWrapping"/>
      </w:r>
      <w:r>
        <w:rPr>
          <w:rFonts w:hint="eastAsia"/>
        </w:rPr>
        <w:t>（四）单项工程核减率在</w:t>
      </w:r>
      <w:r>
        <w:t>5%</w:t>
      </w:r>
      <w:r>
        <w:rPr>
          <w:rFonts w:hint="eastAsia"/>
        </w:rPr>
        <w:t>及其以下的，其审计费用由甲方承担。</w:t>
      </w:r>
      <w:r>
        <w:br w:type="textWrapping"/>
      </w:r>
      <w:r>
        <w:rPr>
          <w:rFonts w:hint="eastAsia"/>
        </w:rPr>
        <w:t>核减率按审计最终核定额与乙方申报的决算额之间的差额计算。</w:t>
      </w:r>
      <w:r>
        <w:br w:type="textWrapping"/>
      </w:r>
      <w:r>
        <w:rPr>
          <w:rFonts w:hint="eastAsia"/>
        </w:rPr>
        <w:t xml:space="preserve">    7、主材必须严格选用优质、环保、无腐蚀性产品，材料进场提供产品合格证并办理材料报验手续；施工规范符合现行国家规范；工程质量要求为：合格。</w:t>
      </w:r>
    </w:p>
    <w:p>
      <w:pPr>
        <w:spacing w:before="156" w:beforeLines="50" w:after="156" w:afterLines="50" w:line="400" w:lineRule="exact"/>
        <w:ind w:firstLine="480" w:firstLineChars="200"/>
        <w:rPr>
          <w:rFonts w:ascii="宋体" w:hAnsi="宋体"/>
          <w:sz w:val="24"/>
          <w:szCs w:val="24"/>
        </w:rPr>
      </w:pPr>
      <w:r>
        <w:rPr>
          <w:rFonts w:hint="eastAsia" w:ascii="宋体" w:hAnsi="宋体"/>
          <w:sz w:val="24"/>
          <w:szCs w:val="24"/>
        </w:rPr>
        <w:t>8、现场管理及安全责任：施工单位根据现行国家工程质量检验标准和现场实际情况，按国家有关规定派驻具有相应资质的项目经理，加强施工管理，因质量和安全问题造成的一切责任和损失均由施工单位负责。</w:t>
      </w:r>
    </w:p>
    <w:p>
      <w:pPr>
        <w:spacing w:before="156" w:beforeLines="50" w:after="156" w:afterLines="50" w:line="400" w:lineRule="exact"/>
        <w:ind w:firstLine="480" w:firstLineChars="200"/>
        <w:rPr>
          <w:rFonts w:ascii="宋体" w:hAnsi="宋体"/>
          <w:sz w:val="24"/>
          <w:szCs w:val="24"/>
          <w:u w:val="single"/>
        </w:rPr>
      </w:pPr>
      <w:r>
        <w:rPr>
          <w:rFonts w:hint="eastAsia" w:ascii="宋体" w:hAnsi="宋体"/>
          <w:sz w:val="24"/>
          <w:szCs w:val="24"/>
        </w:rPr>
        <w:t>9、主材检测：业主可随时对工程主要材料选择送检，检测费用包含在响应价内，</w:t>
      </w:r>
      <w:r>
        <w:rPr>
          <w:rFonts w:hint="eastAsia" w:ascii="宋体" w:hAnsi="宋体"/>
          <w:b/>
          <w:sz w:val="24"/>
          <w:szCs w:val="24"/>
          <w:u w:val="single"/>
        </w:rPr>
        <w:t>如发现以次充好或不合格材料，除及时更换合格产品外，每发现一处扣罚款2000元。</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10、主要材料进场须经业主确认。</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11、图纸设计若有不符合现行规范、规定、标准等或其他不到位之处，施工单位必须提出，待业主确认后再施工，否则因此造成的质量事故由施工单位承担。</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12、隐蔽工程或部位必须报甲方同意后，方可进入下一步工序并自行留存相关资料，否则结算不予承认。</w:t>
      </w:r>
    </w:p>
    <w:p>
      <w:pPr>
        <w:spacing w:before="156" w:beforeLines="50" w:after="156" w:afterLines="50" w:line="400" w:lineRule="exact"/>
        <w:ind w:firstLine="482" w:firstLineChars="200"/>
        <w:rPr>
          <w:rFonts w:hint="eastAsia" w:ascii="宋体" w:hAnsi="宋体"/>
          <w:b/>
          <w:sz w:val="24"/>
          <w:szCs w:val="24"/>
          <w:u w:val="single"/>
        </w:rPr>
      </w:pPr>
      <w:r>
        <w:rPr>
          <w:rFonts w:hint="eastAsia" w:ascii="宋体" w:hAnsi="宋体"/>
          <w:b/>
          <w:sz w:val="24"/>
          <w:szCs w:val="24"/>
          <w:u w:val="single"/>
        </w:rPr>
        <w:t>13、施工管理中，未按规定要求（安全文明施工、质量标准等方面）进行施工、管理的，罚款300-500元/次。</w:t>
      </w:r>
    </w:p>
    <w:p>
      <w:pPr>
        <w:spacing w:before="156" w:beforeLines="50" w:after="156" w:afterLines="50" w:line="400" w:lineRule="exact"/>
        <w:ind w:firstLine="482" w:firstLineChars="200"/>
        <w:rPr>
          <w:rFonts w:hint="eastAsia" w:ascii="宋体" w:hAnsi="宋体"/>
          <w:b/>
          <w:sz w:val="24"/>
          <w:szCs w:val="24"/>
          <w:u w:val="single"/>
        </w:rPr>
      </w:pPr>
    </w:p>
    <w:p>
      <w:pPr>
        <w:tabs>
          <w:tab w:val="left" w:pos="3542"/>
        </w:tabs>
        <w:spacing w:line="360" w:lineRule="auto"/>
        <w:rPr>
          <w:rFonts w:ascii="宋体" w:hAnsi="宋体"/>
        </w:rPr>
      </w:pPr>
    </w:p>
    <w:p>
      <w:pPr>
        <w:tabs>
          <w:tab w:val="left" w:pos="3542"/>
        </w:tabs>
        <w:spacing w:line="360" w:lineRule="auto"/>
        <w:rPr>
          <w:rFonts w:ascii="宋体" w:hAnsi="宋体"/>
        </w:rPr>
      </w:pPr>
    </w:p>
    <w:p>
      <w:pPr>
        <w:tabs>
          <w:tab w:val="left" w:pos="0"/>
          <w:tab w:val="left" w:pos="993"/>
          <w:tab w:val="left" w:pos="1134"/>
        </w:tabs>
        <w:adjustRightInd w:val="0"/>
        <w:snapToGrid w:val="0"/>
        <w:spacing w:line="360" w:lineRule="auto"/>
        <w:ind w:firstLine="502" w:firstLineChars="201"/>
        <w:rPr>
          <w:rFonts w:ascii="宋体" w:hAnsi="宋体"/>
          <w:b/>
          <w:spacing w:val="5"/>
          <w:sz w:val="24"/>
        </w:rPr>
      </w:pPr>
      <w:r>
        <w:rPr>
          <w:rFonts w:ascii="宋体" w:hAnsi="宋体"/>
          <w:bCs/>
          <w:spacing w:val="5"/>
          <w:sz w:val="24"/>
        </w:rPr>
        <w:br w:type="page"/>
      </w:r>
      <w:r>
        <w:rPr>
          <w:rFonts w:hint="eastAsia" w:ascii="宋体" w:hAnsi="宋体"/>
          <w:bCs/>
          <w:spacing w:val="5"/>
          <w:sz w:val="24"/>
        </w:rPr>
        <w:t>附件2</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安全生产责任承诺书</w:t>
      </w:r>
    </w:p>
    <w:p>
      <w:pPr>
        <w:spacing w:line="360" w:lineRule="auto"/>
        <w:ind w:firstLine="502" w:firstLineChars="201"/>
        <w:rPr>
          <w:rFonts w:ascii="宋体" w:hAnsi="宋体"/>
          <w:bCs/>
          <w:spacing w:val="5"/>
          <w:sz w:val="24"/>
        </w:rPr>
      </w:pP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sz w:val="24"/>
        </w:rPr>
        <w:t>施工</w:t>
      </w:r>
      <w:r>
        <w:rPr>
          <w:rFonts w:hint="eastAsia" w:ascii="宋体" w:hAnsi="宋体"/>
          <w:bCs/>
          <w:spacing w:val="5"/>
          <w:sz w:val="24"/>
        </w:rPr>
        <w:t>过程中，保证不发生重大人员伤亡事故，在此工程施工过程中所发生的一切工伤事故，或安全事故，均由我公司承担一切责任。</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tabs>
          <w:tab w:val="left" w:pos="0"/>
          <w:tab w:val="left" w:pos="993"/>
          <w:tab w:val="left" w:pos="1134"/>
        </w:tabs>
        <w:adjustRightInd w:val="0"/>
        <w:snapToGrid w:val="0"/>
        <w:spacing w:line="360" w:lineRule="auto"/>
        <w:ind w:firstLine="482" w:firstLineChars="201"/>
        <w:rPr>
          <w:rFonts w:ascii="宋体" w:hAnsi="宋体"/>
          <w:bCs/>
          <w:snapToGrid w:val="0"/>
          <w:sz w:val="24"/>
        </w:rPr>
      </w:pPr>
      <w:r>
        <w:rPr>
          <w:rFonts w:hint="eastAsia" w:ascii="宋体" w:hAnsi="宋体"/>
          <w:bCs/>
          <w:snapToGrid w:val="0"/>
          <w:sz w:val="24"/>
        </w:rPr>
        <w:br w:type="page"/>
      </w:r>
      <w:r>
        <w:rPr>
          <w:rFonts w:hint="eastAsia" w:ascii="宋体" w:hAnsi="宋体"/>
          <w:bCs/>
          <w:snapToGrid w:val="0"/>
          <w:sz w:val="24"/>
        </w:rPr>
        <w:t>附件3</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不拖欠民工工资承诺书</w:t>
      </w: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tabs>
          <w:tab w:val="left" w:pos="0"/>
          <w:tab w:val="left" w:pos="993"/>
          <w:tab w:val="left" w:pos="1134"/>
        </w:tabs>
        <w:adjustRightInd w:val="0"/>
        <w:snapToGrid w:val="0"/>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cs="宋体"/>
          <w:bCs/>
          <w:sz w:val="24"/>
        </w:rPr>
        <w:t>项目</w:t>
      </w:r>
      <w:r>
        <w:rPr>
          <w:rFonts w:hint="eastAsia" w:ascii="宋体" w:hAnsi="宋体"/>
          <w:sz w:val="24"/>
        </w:rPr>
        <w:t>施工</w:t>
      </w:r>
      <w:r>
        <w:rPr>
          <w:rFonts w:hint="eastAsia" w:ascii="宋体" w:hAnsi="宋体"/>
          <w:bCs/>
          <w:spacing w:val="5"/>
          <w:sz w:val="24"/>
        </w:rPr>
        <w:t>过程中</w:t>
      </w:r>
      <w:r>
        <w:rPr>
          <w:rFonts w:hint="eastAsia" w:ascii="宋体" w:hAnsi="宋体"/>
          <w:sz w:val="24"/>
        </w:rPr>
        <w:t>，在工程实施期间及竣工验收后，保证按时按期足额支付所有建筑工人及民工工资，如有违反，将承担由此发生的和可能带来的一切后果和费用。</w:t>
      </w:r>
    </w:p>
    <w:p>
      <w:pPr>
        <w:tabs>
          <w:tab w:val="left" w:pos="0"/>
          <w:tab w:val="left" w:pos="993"/>
          <w:tab w:val="left" w:pos="1134"/>
        </w:tabs>
        <w:adjustRightInd w:val="0"/>
        <w:snapToGrid w:val="0"/>
        <w:spacing w:line="360" w:lineRule="auto"/>
        <w:ind w:firstLine="482" w:firstLineChars="201"/>
        <w:rPr>
          <w:rFonts w:ascii="宋体" w:hAnsi="宋体"/>
          <w:sz w:val="24"/>
        </w:rPr>
      </w:pPr>
      <w:r>
        <w:rPr>
          <w:rFonts w:hint="eastAsia" w:ascii="宋体" w:hAnsi="宋体"/>
          <w:sz w:val="24"/>
        </w:rPr>
        <w:t>特此承诺！</w:t>
      </w:r>
    </w:p>
    <w:p>
      <w:pPr>
        <w:tabs>
          <w:tab w:val="left" w:pos="0"/>
          <w:tab w:val="left" w:pos="993"/>
          <w:tab w:val="left" w:pos="1134"/>
        </w:tabs>
        <w:adjustRightInd w:val="0"/>
        <w:snapToGrid w:val="0"/>
        <w:spacing w:line="360" w:lineRule="auto"/>
        <w:ind w:firstLine="484" w:firstLineChars="201"/>
        <w:jc w:val="center"/>
        <w:rPr>
          <w:rFonts w:ascii="宋体" w:hAnsi="宋体"/>
          <w:b/>
          <w:snapToGrid w:val="0"/>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spacing w:line="360" w:lineRule="auto"/>
        <w:ind w:firstLine="502" w:firstLineChars="201"/>
        <w:rPr>
          <w:rFonts w:ascii="宋体" w:hAnsi="宋体"/>
          <w:bCs/>
          <w:spacing w:val="5"/>
          <w:sz w:val="24"/>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numPr>
          <w:ilvl w:val="0"/>
          <w:numId w:val="0"/>
        </w:numPr>
        <w:rPr>
          <w:rFonts w:hint="eastAsia"/>
          <w:lang w:val="en-US" w:eastAsia="zh-CN"/>
        </w:rPr>
      </w:pPr>
    </w:p>
    <w:p>
      <w:pPr>
        <w:pStyle w:val="40"/>
        <w:numPr>
          <w:ilvl w:val="0"/>
          <w:numId w:val="0"/>
        </w:numPr>
        <w:jc w:val="center"/>
        <w:rPr>
          <w:rFonts w:hint="eastAsia" w:ascii="楷体" w:hAnsi="楷体" w:eastAsia="楷体" w:cs="楷体"/>
          <w:b/>
          <w:bCs/>
          <w:lang w:val="en-US" w:eastAsia="zh-CN"/>
        </w:rPr>
      </w:pPr>
      <w:bookmarkStart w:id="110" w:name="_Toc30495"/>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rPr>
      </w:pPr>
      <w:r>
        <w:rPr>
          <w:rFonts w:hint="eastAsia" w:ascii="楷体" w:hAnsi="楷体" w:eastAsia="楷体" w:cs="楷体"/>
          <w:b/>
          <w:bCs/>
          <w:lang w:val="en-US" w:eastAsia="zh-CN"/>
        </w:rPr>
        <w:t>七、</w:t>
      </w:r>
      <w:r>
        <w:rPr>
          <w:rFonts w:hint="eastAsia" w:ascii="楷体" w:hAnsi="楷体" w:eastAsia="楷体" w:cs="楷体"/>
          <w:b/>
          <w:bCs/>
        </w:rPr>
        <w:t>相关附表格式</w:t>
      </w:r>
      <w:bookmarkEnd w:id="88"/>
      <w:bookmarkEnd w:id="89"/>
      <w:bookmarkEnd w:id="90"/>
      <w:bookmarkEnd w:id="109"/>
      <w:bookmarkEnd w:id="110"/>
      <w:bookmarkStart w:id="111" w:name="_Toc30587"/>
    </w:p>
    <w:p>
      <w:pPr>
        <w:pStyle w:val="40"/>
        <w:numPr>
          <w:ilvl w:val="0"/>
          <w:numId w:val="0"/>
        </w:numPr>
        <w:rPr>
          <w:rFonts w:hint="eastAsia" w:ascii="楷体" w:hAnsi="楷体" w:eastAsia="楷体" w:cs="楷体"/>
        </w:rPr>
      </w:pPr>
      <w:bookmarkStart w:id="112" w:name="_Toc13019"/>
      <w:bookmarkStart w:id="113" w:name="_Toc28734"/>
      <w:bookmarkStart w:id="114" w:name="_Toc28944"/>
      <w:r>
        <w:rPr>
          <w:rFonts w:hint="eastAsia" w:ascii="楷体" w:hAnsi="楷体" w:eastAsia="楷体" w:cs="楷体"/>
        </w:rPr>
        <w:t>附 件1：法人授权委托书</w:t>
      </w:r>
      <w:bookmarkEnd w:id="111"/>
      <w:bookmarkEnd w:id="112"/>
      <w:bookmarkEnd w:id="113"/>
      <w:bookmarkEnd w:id="114"/>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兹委托受托人合法地代表我单位参加南京交通职业技术学院组织的（采购编号为：</w:t>
      </w:r>
      <w:r>
        <w:rPr>
          <w:rFonts w:hint="eastAsia" w:ascii="楷体" w:hAnsi="楷体" w:eastAsia="楷体" w:cs="楷体"/>
          <w:b/>
          <w:bCs/>
          <w:sz w:val="24"/>
          <w:szCs w:val="24"/>
          <w:lang w:eastAsia="zh-CN"/>
        </w:rPr>
        <w:t>JY20210</w:t>
      </w:r>
      <w:r>
        <w:rPr>
          <w:rFonts w:hint="eastAsia" w:ascii="楷体" w:hAnsi="楷体" w:eastAsia="楷体" w:cs="楷体"/>
          <w:b/>
          <w:bCs/>
          <w:sz w:val="24"/>
          <w:szCs w:val="24"/>
          <w:lang w:val="en-US" w:eastAsia="zh-CN"/>
        </w:rPr>
        <w:t>89</w:t>
      </w:r>
      <w:r>
        <w:rPr>
          <w:rFonts w:hint="eastAsia" w:ascii="楷体" w:hAnsi="楷体" w:eastAsia="楷体" w:cs="楷体"/>
          <w:sz w:val="24"/>
          <w:szCs w:val="24"/>
        </w:rPr>
        <w:t>）南京交通职业技术学院</w:t>
      </w:r>
      <w:r>
        <w:rPr>
          <w:rFonts w:hint="eastAsia" w:ascii="楷体" w:hAnsi="楷体" w:eastAsia="楷体" w:cs="楷体"/>
          <w:b/>
          <w:bCs/>
          <w:sz w:val="24"/>
          <w:szCs w:val="24"/>
          <w:lang w:eastAsia="zh-CN"/>
        </w:rPr>
        <w:t>食堂燃气炉灶集中更换工程项目</w:t>
      </w:r>
      <w:r>
        <w:rPr>
          <w:rFonts w:hint="eastAsia" w:ascii="楷体" w:hAnsi="楷体" w:eastAsia="楷体" w:cs="楷体"/>
          <w:sz w:val="24"/>
          <w:szCs w:val="24"/>
        </w:rPr>
        <w:t>的采购活动，受托人有权在该采购活动中，以我单位的名义签署磋商函和磋商响应文件，与采购人协商、澄清、解释，质疑，签订合同书并执行一切与此有关的事项。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ascii="楷体" w:hAnsi="楷体" w:eastAsia="楷体" w:cs="楷体"/>
          <w:sz w:val="24"/>
          <w:szCs w:val="24"/>
        </w:rPr>
      </w:pP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w:t>
      </w:r>
      <w:r>
        <w:rPr>
          <w:rFonts w:hint="eastAsia" w:ascii="楷体" w:hAnsi="楷体" w:eastAsia="楷体" w:cs="楷体"/>
          <w:sz w:val="24"/>
          <w:szCs w:val="24"/>
          <w:lang w:val="en-US" w:eastAsia="zh-CN"/>
        </w:rPr>
        <w:t>1</w:t>
      </w:r>
      <w:r>
        <w:rPr>
          <w:rFonts w:hint="eastAsia" w:ascii="楷体" w:hAnsi="楷体" w:eastAsia="楷体" w:cs="楷体"/>
          <w:sz w:val="24"/>
          <w:szCs w:val="24"/>
        </w:rPr>
        <w:t>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40"/>
        <w:numPr>
          <w:ilvl w:val="0"/>
          <w:numId w:val="0"/>
        </w:numPr>
        <w:jc w:val="center"/>
        <w:rPr>
          <w:rFonts w:hint="eastAsia" w:ascii="楷体" w:hAnsi="楷体" w:eastAsia="楷体" w:cs="楷体"/>
        </w:rPr>
      </w:pPr>
      <w:bookmarkStart w:id="115" w:name="_Toc30644"/>
      <w:r>
        <w:rPr>
          <w:rFonts w:hint="eastAsia" w:ascii="楷体" w:hAnsi="楷体" w:eastAsia="楷体" w:cs="楷体"/>
          <w:b w:val="0"/>
          <w:bCs w:val="0"/>
        </w:rPr>
        <w:br w:type="page"/>
      </w:r>
      <w:bookmarkEnd w:id="115"/>
      <w:bookmarkStart w:id="116" w:name="_Toc2252"/>
      <w:bookmarkStart w:id="117" w:name="_Toc9521"/>
      <w:bookmarkStart w:id="118" w:name="_Toc9284"/>
      <w:bookmarkStart w:id="119" w:name="_Toc27307"/>
      <w:bookmarkStart w:id="120" w:name="_Toc9701"/>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bookmarkEnd w:id="116"/>
      <w:bookmarkEnd w:id="117"/>
      <w:bookmarkEnd w:id="118"/>
      <w:bookmarkEnd w:id="119"/>
    </w:p>
    <w:bookmarkEnd w:id="120"/>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40"/>
        <w:numPr>
          <w:ilvl w:val="0"/>
          <w:numId w:val="0"/>
        </w:numPr>
        <w:jc w:val="center"/>
        <w:rPr>
          <w:rFonts w:hint="eastAsia" w:ascii="楷体" w:hAnsi="楷体" w:eastAsia="楷体" w:cs="楷体"/>
        </w:rPr>
      </w:pPr>
      <w:r>
        <w:rPr>
          <w:rFonts w:hint="eastAsia" w:ascii="楷体" w:hAnsi="楷体" w:eastAsia="楷体" w:cs="楷体"/>
        </w:rPr>
        <w:br w:type="page"/>
      </w:r>
      <w:bookmarkStart w:id="121" w:name="_Toc18188"/>
      <w:bookmarkStart w:id="122" w:name="_Toc190"/>
      <w:bookmarkStart w:id="123" w:name="_Toc30482"/>
      <w:bookmarkStart w:id="124" w:name="_Toc28753"/>
      <w:bookmarkStart w:id="125" w:name="_Toc26453"/>
      <w:bookmarkStart w:id="126" w:name="_Toc8873"/>
      <w:bookmarkStart w:id="127" w:name="_Toc10944"/>
      <w:r>
        <w:rPr>
          <w:rFonts w:hint="eastAsia" w:ascii="楷体" w:hAnsi="楷体" w:eastAsia="楷体" w:cs="楷体"/>
        </w:rPr>
        <w:t>附 件</w:t>
      </w:r>
      <w:bookmarkEnd w:id="121"/>
      <w:bookmarkEnd w:id="122"/>
      <w:r>
        <w:rPr>
          <w:rFonts w:hint="eastAsia" w:ascii="楷体" w:hAnsi="楷体" w:eastAsia="楷体" w:cs="楷体"/>
          <w:lang w:val="en-US" w:eastAsia="zh-CN"/>
        </w:rPr>
        <w:t>3</w:t>
      </w:r>
      <w:r>
        <w:rPr>
          <w:rFonts w:hint="eastAsia" w:ascii="楷体" w:hAnsi="楷体" w:eastAsia="楷体" w:cs="楷体"/>
        </w:rPr>
        <w:t>：三年内无重大违纪声明</w:t>
      </w:r>
      <w:bookmarkEnd w:id="123"/>
      <w:bookmarkEnd w:id="124"/>
      <w:bookmarkEnd w:id="125"/>
      <w:bookmarkEnd w:id="126"/>
      <w:bookmarkEnd w:id="127"/>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40"/>
        <w:numPr>
          <w:ilvl w:val="0"/>
          <w:numId w:val="0"/>
        </w:numPr>
        <w:jc w:val="center"/>
        <w:rPr>
          <w:rFonts w:hint="eastAsia" w:ascii="楷体" w:hAnsi="楷体" w:eastAsia="楷体" w:cs="楷体"/>
        </w:rPr>
      </w:pPr>
      <w:r>
        <w:rPr>
          <w:rFonts w:hint="eastAsia" w:ascii="楷体" w:hAnsi="楷体" w:eastAsia="楷体" w:cs="楷体"/>
          <w:b w:val="0"/>
          <w:bCs w:val="0"/>
          <w:sz w:val="24"/>
          <w:szCs w:val="24"/>
        </w:rPr>
        <w:br w:type="page"/>
      </w:r>
      <w:bookmarkStart w:id="128" w:name="_Toc4338"/>
      <w:bookmarkStart w:id="129" w:name="_Toc12129"/>
      <w:bookmarkStart w:id="130" w:name="_Toc26218"/>
      <w:bookmarkStart w:id="131" w:name="_Toc16683"/>
      <w:bookmarkStart w:id="132" w:name="_Toc4301"/>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bookmarkEnd w:id="128"/>
      <w:bookmarkEnd w:id="129"/>
      <w:bookmarkEnd w:id="130"/>
      <w:bookmarkEnd w:id="131"/>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2"/>
      <w:bookmarkStart w:id="133" w:name="_Toc30780"/>
      <w:bookmarkStart w:id="134" w:name="_Toc10887"/>
      <w:bookmarkStart w:id="135" w:name="_Toc11048"/>
      <w:bookmarkStart w:id="136" w:name="_Toc31660"/>
    </w:p>
    <w:bookmarkEnd w:id="133"/>
    <w:bookmarkEnd w:id="134"/>
    <w:bookmarkEnd w:id="135"/>
    <w:bookmarkEnd w:id="136"/>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lang w:eastAsia="zh-CN"/>
        </w:rPr>
      </w:pPr>
      <w:r>
        <w:rPr>
          <w:rFonts w:hint="eastAsia" w:ascii="楷体" w:hAnsi="楷体" w:eastAsia="楷体" w:cs="楷体"/>
        </w:rPr>
        <w:t>附 件</w:t>
      </w:r>
      <w:r>
        <w:rPr>
          <w:rFonts w:hint="eastAsia" w:ascii="楷体" w:hAnsi="楷体" w:eastAsia="楷体" w:cs="楷体"/>
          <w:lang w:val="en-US" w:eastAsia="zh-CN"/>
        </w:rPr>
        <w:t>5</w:t>
      </w:r>
      <w:r>
        <w:rPr>
          <w:rFonts w:hint="eastAsia" w:ascii="楷体" w:hAnsi="楷体" w:eastAsia="楷体" w:cs="楷体"/>
        </w:rPr>
        <w:t>：</w:t>
      </w:r>
      <w:r>
        <w:rPr>
          <w:rFonts w:hint="eastAsia" w:ascii="楷体" w:hAnsi="楷体" w:eastAsia="楷体" w:cs="楷体"/>
          <w:lang w:eastAsia="zh-CN"/>
        </w:rPr>
        <w:t>其他承诺函</w:t>
      </w:r>
    </w:p>
    <w:p>
      <w:pPr>
        <w:pStyle w:val="2"/>
        <w:rPr>
          <w:rFonts w:hint="default" w:ascii="楷体" w:hAnsi="楷体" w:eastAsia="楷体" w:cs="楷体"/>
          <w:sz w:val="28"/>
          <w:szCs w:val="28"/>
          <w:lang w:val="en-US" w:eastAsia="zh-CN"/>
        </w:rPr>
      </w:pPr>
    </w:p>
    <w:p>
      <w:pPr>
        <w:rPr>
          <w:rFonts w:ascii="楷体" w:hAnsi="楷体" w:eastAsia="楷体" w:cs="楷体"/>
        </w:rPr>
      </w:pPr>
    </w:p>
    <w:p>
      <w:pPr>
        <w:spacing w:line="360" w:lineRule="auto"/>
        <w:rPr>
          <w:rFonts w:ascii="楷体" w:hAnsi="楷体" w:eastAsia="楷体" w:cs="楷体"/>
          <w:sz w:val="28"/>
          <w:szCs w:val="28"/>
        </w:rPr>
      </w:pP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ind w:left="0" w:leftChars="0" w:firstLine="0" w:firstLineChars="0"/>
        <w:rPr>
          <w:rFonts w:hint="eastAsia" w:ascii="楷体" w:hAnsi="楷体" w:eastAsia="楷体" w:cs="楷体"/>
          <w:sz w:val="28"/>
          <w:szCs w:val="28"/>
          <w:lang w:eastAsia="zh-CN"/>
        </w:rPr>
      </w:pPr>
    </w:p>
    <w:sectPr>
      <w:headerReference r:id="rId3" w:type="default"/>
      <w:footerReference r:id="rId4"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楷体_GB2312">
    <w:panose1 w:val="02010609030101010101"/>
    <w:charset w:val="86"/>
    <w:family w:val="modern"/>
    <w:pitch w:val="default"/>
    <w:sig w:usb0="00000001" w:usb1="080E0000" w:usb2="00000000" w:usb3="00000000" w:csb0="00040000" w:csb1="00000000"/>
  </w:font>
  <w:font w:name="红豆幼黑体">
    <w:altName w:val="黑体"/>
    <w:panose1 w:val="02000509000000000000"/>
    <w:charset w:val="86"/>
    <w:family w:val="auto"/>
    <w:pitch w:val="default"/>
    <w:sig w:usb0="00000000" w:usb1="00000000" w:usb2="00000012" w:usb3="00000000" w:csb0="00040001"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方正仿宋_GBK">
    <w:altName w:val="Arial Unicode MS"/>
    <w:panose1 w:val="02000000000000000000"/>
    <w:charset w:val="86"/>
    <w:family w:val="script"/>
    <w:pitch w:val="default"/>
    <w:sig w:usb0="00000000" w:usb1="00000000" w:usb2="00082016" w:usb3="00000000" w:csb0="00040001"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Text Box 1025"/>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14"/>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Jnsgl84BAACwAwAADgAAAAAAAAABACAAAAAgAQAAZHJz&#10;L2Uyb0RvYy54bWxQSwUGAAAAAAYABgBZAQAAYAUAAAAA&#10;">
              <v:fill on="f" focussize="0,0"/>
              <v:stroke on="f"/>
              <v:imagedata o:title=""/>
              <o:lock v:ext="edit" aspectratio="f"/>
              <v:textbox inset="0mm,0mm,0mm,0mm" style="mso-fit-shape-to-text:t;">
                <w:txbxContent>
                  <w:p>
                    <w:pPr>
                      <w:pStyle w:val="14"/>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lang w:eastAsia="zh-CN"/>
      </w:rPr>
      <w:t>JY20210</w:t>
    </w:r>
    <w:r>
      <w:rPr>
        <w:rFonts w:hint="eastAsia"/>
        <w:lang w:val="en-US" w:eastAsia="zh-CN"/>
      </w:rPr>
      <w:t>89</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lvl>
  </w:abstractNum>
  <w:abstractNum w:abstractNumId="1">
    <w:nsid w:val="00000002"/>
    <w:multiLevelType w:val="singleLevel"/>
    <w:tmpl w:val="00000002"/>
    <w:lvl w:ilvl="0" w:tentative="0">
      <w:start w:val="1"/>
      <w:numFmt w:val="decimal"/>
      <w:suff w:val="nothing"/>
      <w:lvlText w:val="（%1）"/>
      <w:lvlJc w:val="left"/>
    </w:lvl>
  </w:abstractNum>
  <w:abstractNum w:abstractNumId="2">
    <w:nsid w:val="00000003"/>
    <w:multiLevelType w:val="singleLevel"/>
    <w:tmpl w:val="00000003"/>
    <w:lvl w:ilvl="0" w:tentative="0">
      <w:start w:val="2"/>
      <w:numFmt w:val="decimal"/>
      <w:suff w:val="nothing"/>
      <w:lvlText w:val="（%1）"/>
      <w:lvlJc w:val="left"/>
    </w:lvl>
  </w:abstractNum>
  <w:abstractNum w:abstractNumId="3">
    <w:nsid w:val="00000011"/>
    <w:multiLevelType w:val="multilevel"/>
    <w:tmpl w:val="00000011"/>
    <w:lvl w:ilvl="0" w:tentative="0">
      <w:start w:val="1"/>
      <w:numFmt w:val="japaneseCounting"/>
      <w:pStyle w:val="40"/>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4">
    <w:nsid w:val="0BD9B3F7"/>
    <w:multiLevelType w:val="singleLevel"/>
    <w:tmpl w:val="0BD9B3F7"/>
    <w:lvl w:ilvl="0" w:tentative="0">
      <w:start w:val="4"/>
      <w:numFmt w:val="decimal"/>
      <w:lvlText w:val="%1."/>
      <w:lvlJc w:val="left"/>
      <w:pPr>
        <w:tabs>
          <w:tab w:val="left" w:pos="312"/>
        </w:tabs>
      </w:pPr>
    </w:lvl>
  </w:abstractNum>
  <w:abstractNum w:abstractNumId="5">
    <w:nsid w:val="42062CC4"/>
    <w:multiLevelType w:val="multilevel"/>
    <w:tmpl w:val="42062CC4"/>
    <w:lvl w:ilvl="0" w:tentative="0">
      <w:start w:val="1"/>
      <w:numFmt w:val="decimal"/>
      <w:pStyle w:val="4"/>
      <w:suff w:val="nothing"/>
      <w:lvlText w:val="第 %1 部分 "/>
      <w:lvlJc w:val="left"/>
      <w:rPr>
        <w:rFonts w:hint="eastAsia" w:ascii="黑体" w:hAnsi="宋体" w:eastAsia="黑体"/>
        <w:b/>
        <w:bCs/>
        <w:i w:val="0"/>
        <w:iCs w:val="0"/>
        <w:caps w:val="0"/>
        <w:smallCaps w:val="0"/>
        <w:strike w:val="0"/>
        <w:dstrike w:val="0"/>
        <w:vanish w:val="0"/>
        <w:spacing w:val="0"/>
        <w:position w:val="0"/>
        <w:u w:val="none"/>
        <w:vertAlign w:val="baseline"/>
      </w:rPr>
    </w:lvl>
    <w:lvl w:ilvl="1" w:tentative="0">
      <w:start w:val="1"/>
      <w:numFmt w:val="decimal"/>
      <w:pStyle w:val="5"/>
      <w:isLgl/>
      <w:suff w:val="nothing"/>
      <w:lvlText w:val="%1.%2 "/>
      <w:lvlJc w:val="left"/>
      <w:rPr>
        <w:rFonts w:hint="eastAsia"/>
      </w:rPr>
    </w:lvl>
    <w:lvl w:ilvl="2" w:tentative="0">
      <w:start w:val="1"/>
      <w:numFmt w:val="none"/>
      <w:pStyle w:val="6"/>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6">
    <w:nsid w:val="42EE106E"/>
    <w:multiLevelType w:val="singleLevel"/>
    <w:tmpl w:val="42EE106E"/>
    <w:lvl w:ilvl="0" w:tentative="0">
      <w:start w:val="6"/>
      <w:numFmt w:val="chineseCounting"/>
      <w:suff w:val="nothing"/>
      <w:lvlText w:val="%1、"/>
      <w:lvlJc w:val="left"/>
      <w:rPr>
        <w:rFonts w:hint="eastAsia"/>
      </w:rPr>
    </w:lvl>
  </w:abstractNum>
  <w:num w:numId="1">
    <w:abstractNumId w:val="5"/>
  </w:num>
  <w:num w:numId="2">
    <w:abstractNumId w:val="3"/>
  </w:num>
  <w:num w:numId="3">
    <w:abstractNumId w:val="4"/>
  </w:num>
  <w:num w:numId="4">
    <w:abstractNumId w:val="6"/>
  </w:num>
  <w:num w:numId="5">
    <w:abstractNumId w:val="2"/>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C2B60"/>
    <w:rsid w:val="00007A46"/>
    <w:rsid w:val="00030B28"/>
    <w:rsid w:val="000E659B"/>
    <w:rsid w:val="00104C00"/>
    <w:rsid w:val="00112EC7"/>
    <w:rsid w:val="001131E1"/>
    <w:rsid w:val="0013316D"/>
    <w:rsid w:val="001836B0"/>
    <w:rsid w:val="001A62A3"/>
    <w:rsid w:val="001C2266"/>
    <w:rsid w:val="001C6DBE"/>
    <w:rsid w:val="00223FF9"/>
    <w:rsid w:val="00236A29"/>
    <w:rsid w:val="00251537"/>
    <w:rsid w:val="00273F79"/>
    <w:rsid w:val="002D179D"/>
    <w:rsid w:val="002D555B"/>
    <w:rsid w:val="002E77A6"/>
    <w:rsid w:val="002F260B"/>
    <w:rsid w:val="0030538E"/>
    <w:rsid w:val="0033401E"/>
    <w:rsid w:val="003833BE"/>
    <w:rsid w:val="003C2F48"/>
    <w:rsid w:val="00437994"/>
    <w:rsid w:val="00444BD8"/>
    <w:rsid w:val="00463085"/>
    <w:rsid w:val="004C43D3"/>
    <w:rsid w:val="004E2115"/>
    <w:rsid w:val="005522A0"/>
    <w:rsid w:val="005B277D"/>
    <w:rsid w:val="005F6421"/>
    <w:rsid w:val="00601E4A"/>
    <w:rsid w:val="006020B2"/>
    <w:rsid w:val="006034D0"/>
    <w:rsid w:val="00620655"/>
    <w:rsid w:val="00637B6E"/>
    <w:rsid w:val="006651AE"/>
    <w:rsid w:val="006A4DF0"/>
    <w:rsid w:val="007071B0"/>
    <w:rsid w:val="007321DD"/>
    <w:rsid w:val="007848AA"/>
    <w:rsid w:val="007A0811"/>
    <w:rsid w:val="007A6673"/>
    <w:rsid w:val="007B2ACE"/>
    <w:rsid w:val="007F24BF"/>
    <w:rsid w:val="00807440"/>
    <w:rsid w:val="00895BAC"/>
    <w:rsid w:val="008B0FFA"/>
    <w:rsid w:val="008F12B4"/>
    <w:rsid w:val="008F23D1"/>
    <w:rsid w:val="009A0D08"/>
    <w:rsid w:val="009A1593"/>
    <w:rsid w:val="009A3624"/>
    <w:rsid w:val="009C3B9F"/>
    <w:rsid w:val="00A049CA"/>
    <w:rsid w:val="00A56CEE"/>
    <w:rsid w:val="00A62675"/>
    <w:rsid w:val="00A82C7F"/>
    <w:rsid w:val="00A93782"/>
    <w:rsid w:val="00AB63AE"/>
    <w:rsid w:val="00AB66BD"/>
    <w:rsid w:val="00AE4B26"/>
    <w:rsid w:val="00B962FA"/>
    <w:rsid w:val="00B97C3D"/>
    <w:rsid w:val="00BA11A3"/>
    <w:rsid w:val="00C2104D"/>
    <w:rsid w:val="00C6101F"/>
    <w:rsid w:val="00C7277A"/>
    <w:rsid w:val="00CA569C"/>
    <w:rsid w:val="00D24DA0"/>
    <w:rsid w:val="00D267EB"/>
    <w:rsid w:val="00D30FC1"/>
    <w:rsid w:val="00D6258E"/>
    <w:rsid w:val="00D77EF2"/>
    <w:rsid w:val="00D94153"/>
    <w:rsid w:val="00DD65B3"/>
    <w:rsid w:val="00E97834"/>
    <w:rsid w:val="00E97AD1"/>
    <w:rsid w:val="00EA4E51"/>
    <w:rsid w:val="00ED36E0"/>
    <w:rsid w:val="00EE0228"/>
    <w:rsid w:val="00F05F09"/>
    <w:rsid w:val="00F23000"/>
    <w:rsid w:val="00F35C72"/>
    <w:rsid w:val="00F57B43"/>
    <w:rsid w:val="00FD0CA4"/>
    <w:rsid w:val="00FD51BB"/>
    <w:rsid w:val="011052E8"/>
    <w:rsid w:val="0128288F"/>
    <w:rsid w:val="01311872"/>
    <w:rsid w:val="013F6E0E"/>
    <w:rsid w:val="016064C0"/>
    <w:rsid w:val="01676D4A"/>
    <w:rsid w:val="017F040F"/>
    <w:rsid w:val="018B0207"/>
    <w:rsid w:val="01990F2B"/>
    <w:rsid w:val="01AA116D"/>
    <w:rsid w:val="01D31064"/>
    <w:rsid w:val="01DE356F"/>
    <w:rsid w:val="01DF6DB2"/>
    <w:rsid w:val="01E63B91"/>
    <w:rsid w:val="020F219A"/>
    <w:rsid w:val="022063A8"/>
    <w:rsid w:val="022A0BA8"/>
    <w:rsid w:val="02775D88"/>
    <w:rsid w:val="0297130F"/>
    <w:rsid w:val="02AC2E4F"/>
    <w:rsid w:val="02B20A3E"/>
    <w:rsid w:val="02BA1D10"/>
    <w:rsid w:val="031C7446"/>
    <w:rsid w:val="03473180"/>
    <w:rsid w:val="0358711F"/>
    <w:rsid w:val="03891D7D"/>
    <w:rsid w:val="038B5130"/>
    <w:rsid w:val="038C4589"/>
    <w:rsid w:val="038C7990"/>
    <w:rsid w:val="03FE5551"/>
    <w:rsid w:val="0402065D"/>
    <w:rsid w:val="040B5716"/>
    <w:rsid w:val="040E6DD3"/>
    <w:rsid w:val="042F081E"/>
    <w:rsid w:val="04303209"/>
    <w:rsid w:val="0446729B"/>
    <w:rsid w:val="04B92A32"/>
    <w:rsid w:val="04BB298F"/>
    <w:rsid w:val="04C91435"/>
    <w:rsid w:val="04FD4EEE"/>
    <w:rsid w:val="054E69CD"/>
    <w:rsid w:val="055D4A0F"/>
    <w:rsid w:val="05AF36EC"/>
    <w:rsid w:val="05B44643"/>
    <w:rsid w:val="05CA798E"/>
    <w:rsid w:val="06080AA7"/>
    <w:rsid w:val="06116015"/>
    <w:rsid w:val="061767ED"/>
    <w:rsid w:val="06273C8F"/>
    <w:rsid w:val="0628129E"/>
    <w:rsid w:val="06472609"/>
    <w:rsid w:val="06480C23"/>
    <w:rsid w:val="064C08E2"/>
    <w:rsid w:val="06655A71"/>
    <w:rsid w:val="06724C7F"/>
    <w:rsid w:val="0673568F"/>
    <w:rsid w:val="06777D26"/>
    <w:rsid w:val="06892AF1"/>
    <w:rsid w:val="068D3743"/>
    <w:rsid w:val="06A5570A"/>
    <w:rsid w:val="06CC7B38"/>
    <w:rsid w:val="06CD79A1"/>
    <w:rsid w:val="06EF45F7"/>
    <w:rsid w:val="06FF7A69"/>
    <w:rsid w:val="07265CA2"/>
    <w:rsid w:val="075B4363"/>
    <w:rsid w:val="07753830"/>
    <w:rsid w:val="07875D85"/>
    <w:rsid w:val="078851F6"/>
    <w:rsid w:val="07A55BB0"/>
    <w:rsid w:val="07AF3C21"/>
    <w:rsid w:val="07B867A8"/>
    <w:rsid w:val="07E635C7"/>
    <w:rsid w:val="07F71B82"/>
    <w:rsid w:val="07FC3354"/>
    <w:rsid w:val="082F505C"/>
    <w:rsid w:val="083507DC"/>
    <w:rsid w:val="08411FA0"/>
    <w:rsid w:val="087A0A7F"/>
    <w:rsid w:val="08A168BA"/>
    <w:rsid w:val="08AB6E1D"/>
    <w:rsid w:val="08E50672"/>
    <w:rsid w:val="08E965DF"/>
    <w:rsid w:val="09234A42"/>
    <w:rsid w:val="094074F0"/>
    <w:rsid w:val="09515D71"/>
    <w:rsid w:val="09790953"/>
    <w:rsid w:val="097B40EA"/>
    <w:rsid w:val="097D30AF"/>
    <w:rsid w:val="09B76875"/>
    <w:rsid w:val="09C14C7E"/>
    <w:rsid w:val="09C300D6"/>
    <w:rsid w:val="09C33992"/>
    <w:rsid w:val="09E55C2B"/>
    <w:rsid w:val="09F02CFD"/>
    <w:rsid w:val="09FA5F1F"/>
    <w:rsid w:val="0A1C34C0"/>
    <w:rsid w:val="0A575897"/>
    <w:rsid w:val="0A772C29"/>
    <w:rsid w:val="0A782E73"/>
    <w:rsid w:val="0A8161F3"/>
    <w:rsid w:val="0A8D6879"/>
    <w:rsid w:val="0A98335E"/>
    <w:rsid w:val="0ACE5E48"/>
    <w:rsid w:val="0ADC052F"/>
    <w:rsid w:val="0B010F41"/>
    <w:rsid w:val="0B260C38"/>
    <w:rsid w:val="0B35569F"/>
    <w:rsid w:val="0B7E20DF"/>
    <w:rsid w:val="0B994A4D"/>
    <w:rsid w:val="0BB24FC7"/>
    <w:rsid w:val="0BB3388B"/>
    <w:rsid w:val="0BF1246A"/>
    <w:rsid w:val="0BF47F07"/>
    <w:rsid w:val="0C48169B"/>
    <w:rsid w:val="0C765568"/>
    <w:rsid w:val="0C8C2782"/>
    <w:rsid w:val="0CB9334D"/>
    <w:rsid w:val="0CC819A3"/>
    <w:rsid w:val="0CE077CA"/>
    <w:rsid w:val="0D121618"/>
    <w:rsid w:val="0D6273C0"/>
    <w:rsid w:val="0D705552"/>
    <w:rsid w:val="0D886FC1"/>
    <w:rsid w:val="0DA140E0"/>
    <w:rsid w:val="0DB216EB"/>
    <w:rsid w:val="0DC80AE4"/>
    <w:rsid w:val="0DFF50DF"/>
    <w:rsid w:val="0E123720"/>
    <w:rsid w:val="0E383B46"/>
    <w:rsid w:val="0E3D6255"/>
    <w:rsid w:val="0E3F4181"/>
    <w:rsid w:val="0E51430C"/>
    <w:rsid w:val="0E5E0007"/>
    <w:rsid w:val="0E6470EA"/>
    <w:rsid w:val="0E7B1AB2"/>
    <w:rsid w:val="0EB272B2"/>
    <w:rsid w:val="0ECF2D16"/>
    <w:rsid w:val="0EFB1DE5"/>
    <w:rsid w:val="0F0D3D5A"/>
    <w:rsid w:val="0F4B04E9"/>
    <w:rsid w:val="0F7313DF"/>
    <w:rsid w:val="0F8741E9"/>
    <w:rsid w:val="0FAF3196"/>
    <w:rsid w:val="0FC816FD"/>
    <w:rsid w:val="0FDD51C1"/>
    <w:rsid w:val="100C0E74"/>
    <w:rsid w:val="10445CDD"/>
    <w:rsid w:val="1051309D"/>
    <w:rsid w:val="106C436D"/>
    <w:rsid w:val="106E0991"/>
    <w:rsid w:val="106F5344"/>
    <w:rsid w:val="107D46FD"/>
    <w:rsid w:val="10BD1D3E"/>
    <w:rsid w:val="10DC1A0D"/>
    <w:rsid w:val="11200C68"/>
    <w:rsid w:val="112B6F74"/>
    <w:rsid w:val="114E21A3"/>
    <w:rsid w:val="11592476"/>
    <w:rsid w:val="11606AE5"/>
    <w:rsid w:val="116B615B"/>
    <w:rsid w:val="11904A2F"/>
    <w:rsid w:val="11916D37"/>
    <w:rsid w:val="11A812B3"/>
    <w:rsid w:val="11E27123"/>
    <w:rsid w:val="120D1D12"/>
    <w:rsid w:val="121C51D9"/>
    <w:rsid w:val="124936AA"/>
    <w:rsid w:val="1250446D"/>
    <w:rsid w:val="127225DE"/>
    <w:rsid w:val="12771EF0"/>
    <w:rsid w:val="12864374"/>
    <w:rsid w:val="12920AD9"/>
    <w:rsid w:val="12934340"/>
    <w:rsid w:val="12C27712"/>
    <w:rsid w:val="12EE267C"/>
    <w:rsid w:val="13036894"/>
    <w:rsid w:val="130724D5"/>
    <w:rsid w:val="130779C3"/>
    <w:rsid w:val="134A1183"/>
    <w:rsid w:val="134A5358"/>
    <w:rsid w:val="135A34ED"/>
    <w:rsid w:val="136C467D"/>
    <w:rsid w:val="137B0DB9"/>
    <w:rsid w:val="139F3E90"/>
    <w:rsid w:val="13A32863"/>
    <w:rsid w:val="140B3034"/>
    <w:rsid w:val="140B6339"/>
    <w:rsid w:val="14180313"/>
    <w:rsid w:val="141F4AAD"/>
    <w:rsid w:val="142B0675"/>
    <w:rsid w:val="144B5497"/>
    <w:rsid w:val="145E0137"/>
    <w:rsid w:val="146A5D2C"/>
    <w:rsid w:val="14833069"/>
    <w:rsid w:val="14893C0C"/>
    <w:rsid w:val="149E1CFE"/>
    <w:rsid w:val="14B21E49"/>
    <w:rsid w:val="14D93AD4"/>
    <w:rsid w:val="14E238D5"/>
    <w:rsid w:val="15123C1C"/>
    <w:rsid w:val="152612F9"/>
    <w:rsid w:val="152F0D51"/>
    <w:rsid w:val="15397AC9"/>
    <w:rsid w:val="15647631"/>
    <w:rsid w:val="158669AB"/>
    <w:rsid w:val="15981FB4"/>
    <w:rsid w:val="15A0619E"/>
    <w:rsid w:val="15D70E84"/>
    <w:rsid w:val="15F170FF"/>
    <w:rsid w:val="161556B7"/>
    <w:rsid w:val="16222214"/>
    <w:rsid w:val="16225D81"/>
    <w:rsid w:val="163B52CD"/>
    <w:rsid w:val="164173EC"/>
    <w:rsid w:val="1649695B"/>
    <w:rsid w:val="16715406"/>
    <w:rsid w:val="167C2417"/>
    <w:rsid w:val="1687716E"/>
    <w:rsid w:val="169B3BE0"/>
    <w:rsid w:val="16B52472"/>
    <w:rsid w:val="16C23B99"/>
    <w:rsid w:val="16D37C71"/>
    <w:rsid w:val="16E04D7B"/>
    <w:rsid w:val="16E64F85"/>
    <w:rsid w:val="17111ED0"/>
    <w:rsid w:val="175F4F5C"/>
    <w:rsid w:val="17733041"/>
    <w:rsid w:val="17BA74F5"/>
    <w:rsid w:val="17BF3781"/>
    <w:rsid w:val="183A0A39"/>
    <w:rsid w:val="18617367"/>
    <w:rsid w:val="18731802"/>
    <w:rsid w:val="189031DF"/>
    <w:rsid w:val="189F4DA1"/>
    <w:rsid w:val="18A0599C"/>
    <w:rsid w:val="18E20B13"/>
    <w:rsid w:val="1908001D"/>
    <w:rsid w:val="191E5EE9"/>
    <w:rsid w:val="194E40F7"/>
    <w:rsid w:val="195A0D5D"/>
    <w:rsid w:val="196C11E8"/>
    <w:rsid w:val="19901A4D"/>
    <w:rsid w:val="19BB2436"/>
    <w:rsid w:val="19C05583"/>
    <w:rsid w:val="19CC1F25"/>
    <w:rsid w:val="19CF2369"/>
    <w:rsid w:val="19D67789"/>
    <w:rsid w:val="1A0063EE"/>
    <w:rsid w:val="1A6C6352"/>
    <w:rsid w:val="1A7D5020"/>
    <w:rsid w:val="1A8559D3"/>
    <w:rsid w:val="1AA30516"/>
    <w:rsid w:val="1AA30C30"/>
    <w:rsid w:val="1AAE2A8F"/>
    <w:rsid w:val="1AB351B0"/>
    <w:rsid w:val="1AC05E6E"/>
    <w:rsid w:val="1ACF220A"/>
    <w:rsid w:val="1AE42834"/>
    <w:rsid w:val="1AF92757"/>
    <w:rsid w:val="1B0429BD"/>
    <w:rsid w:val="1B403D8F"/>
    <w:rsid w:val="1B5F2139"/>
    <w:rsid w:val="1B6963D0"/>
    <w:rsid w:val="1B8B4E7E"/>
    <w:rsid w:val="1BB454ED"/>
    <w:rsid w:val="1BC173B6"/>
    <w:rsid w:val="1BCD67ED"/>
    <w:rsid w:val="1C082198"/>
    <w:rsid w:val="1C0A4790"/>
    <w:rsid w:val="1C1570D4"/>
    <w:rsid w:val="1C7B125F"/>
    <w:rsid w:val="1C7F0C0E"/>
    <w:rsid w:val="1C8D387F"/>
    <w:rsid w:val="1C90374F"/>
    <w:rsid w:val="1CC632CD"/>
    <w:rsid w:val="1CC70A8C"/>
    <w:rsid w:val="1CC86719"/>
    <w:rsid w:val="1CE476BA"/>
    <w:rsid w:val="1D066402"/>
    <w:rsid w:val="1D086572"/>
    <w:rsid w:val="1D1C2470"/>
    <w:rsid w:val="1D1D0B3E"/>
    <w:rsid w:val="1D4F03BA"/>
    <w:rsid w:val="1DBC2A98"/>
    <w:rsid w:val="1DFC5788"/>
    <w:rsid w:val="1E2F087A"/>
    <w:rsid w:val="1E4863E4"/>
    <w:rsid w:val="1E8F57F6"/>
    <w:rsid w:val="1E9D358F"/>
    <w:rsid w:val="1EE0402D"/>
    <w:rsid w:val="1EF700FA"/>
    <w:rsid w:val="1F0336E4"/>
    <w:rsid w:val="1F950D1B"/>
    <w:rsid w:val="1F9E4095"/>
    <w:rsid w:val="1FC5400E"/>
    <w:rsid w:val="1FDC6302"/>
    <w:rsid w:val="1FF23313"/>
    <w:rsid w:val="1FF36668"/>
    <w:rsid w:val="1FF5033D"/>
    <w:rsid w:val="1FF84801"/>
    <w:rsid w:val="200F36A4"/>
    <w:rsid w:val="20291923"/>
    <w:rsid w:val="20512740"/>
    <w:rsid w:val="20697697"/>
    <w:rsid w:val="208F3BD4"/>
    <w:rsid w:val="20975C93"/>
    <w:rsid w:val="209D75E5"/>
    <w:rsid w:val="21007685"/>
    <w:rsid w:val="210C1950"/>
    <w:rsid w:val="210F56C6"/>
    <w:rsid w:val="21317F60"/>
    <w:rsid w:val="215A34DC"/>
    <w:rsid w:val="21844791"/>
    <w:rsid w:val="21953551"/>
    <w:rsid w:val="21B65DF4"/>
    <w:rsid w:val="21C002BF"/>
    <w:rsid w:val="21CB7ECD"/>
    <w:rsid w:val="21DA3D9C"/>
    <w:rsid w:val="21DE5D5B"/>
    <w:rsid w:val="2209397D"/>
    <w:rsid w:val="221B72B2"/>
    <w:rsid w:val="22525A32"/>
    <w:rsid w:val="22561196"/>
    <w:rsid w:val="22750E06"/>
    <w:rsid w:val="228D4B01"/>
    <w:rsid w:val="22A278C2"/>
    <w:rsid w:val="22E671FB"/>
    <w:rsid w:val="23163B00"/>
    <w:rsid w:val="232B66BC"/>
    <w:rsid w:val="232C64C2"/>
    <w:rsid w:val="23534095"/>
    <w:rsid w:val="23AE0DC4"/>
    <w:rsid w:val="23CA5A7F"/>
    <w:rsid w:val="23D67C84"/>
    <w:rsid w:val="23F43FE9"/>
    <w:rsid w:val="24061A78"/>
    <w:rsid w:val="24485783"/>
    <w:rsid w:val="247907B1"/>
    <w:rsid w:val="24D86100"/>
    <w:rsid w:val="24E62909"/>
    <w:rsid w:val="24F076EE"/>
    <w:rsid w:val="251F156D"/>
    <w:rsid w:val="25232C9F"/>
    <w:rsid w:val="25391A3D"/>
    <w:rsid w:val="2547340D"/>
    <w:rsid w:val="255B7DC5"/>
    <w:rsid w:val="25697A02"/>
    <w:rsid w:val="256F3E50"/>
    <w:rsid w:val="25796D6F"/>
    <w:rsid w:val="258D7C55"/>
    <w:rsid w:val="25A30E36"/>
    <w:rsid w:val="25AF3465"/>
    <w:rsid w:val="25C62D98"/>
    <w:rsid w:val="25D61E70"/>
    <w:rsid w:val="25DD2A1A"/>
    <w:rsid w:val="25E61399"/>
    <w:rsid w:val="2648440A"/>
    <w:rsid w:val="26501F61"/>
    <w:rsid w:val="26735763"/>
    <w:rsid w:val="2677361A"/>
    <w:rsid w:val="26794DFB"/>
    <w:rsid w:val="268A6016"/>
    <w:rsid w:val="268F3A1D"/>
    <w:rsid w:val="2695366E"/>
    <w:rsid w:val="26AD067C"/>
    <w:rsid w:val="26C63A75"/>
    <w:rsid w:val="26EB2A3E"/>
    <w:rsid w:val="27177F15"/>
    <w:rsid w:val="27232167"/>
    <w:rsid w:val="27387BA7"/>
    <w:rsid w:val="276463C3"/>
    <w:rsid w:val="27725767"/>
    <w:rsid w:val="27774E1B"/>
    <w:rsid w:val="27971FC5"/>
    <w:rsid w:val="279954B7"/>
    <w:rsid w:val="27A114FE"/>
    <w:rsid w:val="27EE1FF2"/>
    <w:rsid w:val="280226D1"/>
    <w:rsid w:val="282926BB"/>
    <w:rsid w:val="28296538"/>
    <w:rsid w:val="283A1470"/>
    <w:rsid w:val="286E3ACB"/>
    <w:rsid w:val="2875327C"/>
    <w:rsid w:val="288D118B"/>
    <w:rsid w:val="28A55954"/>
    <w:rsid w:val="28B41C4C"/>
    <w:rsid w:val="28EA64D0"/>
    <w:rsid w:val="291A6670"/>
    <w:rsid w:val="29375306"/>
    <w:rsid w:val="295A2094"/>
    <w:rsid w:val="295E7317"/>
    <w:rsid w:val="29A16D3D"/>
    <w:rsid w:val="29CB24C0"/>
    <w:rsid w:val="29F25144"/>
    <w:rsid w:val="2A141EC6"/>
    <w:rsid w:val="2A31758E"/>
    <w:rsid w:val="2A33111B"/>
    <w:rsid w:val="2AA638C6"/>
    <w:rsid w:val="2AB73A6B"/>
    <w:rsid w:val="2ABA3051"/>
    <w:rsid w:val="2AC87B50"/>
    <w:rsid w:val="2ACB1585"/>
    <w:rsid w:val="2ACC611E"/>
    <w:rsid w:val="2AE016E9"/>
    <w:rsid w:val="2AE45E7A"/>
    <w:rsid w:val="2AE53F8B"/>
    <w:rsid w:val="2AF45F30"/>
    <w:rsid w:val="2B01293A"/>
    <w:rsid w:val="2B0E6D24"/>
    <w:rsid w:val="2B4170DF"/>
    <w:rsid w:val="2B717E6A"/>
    <w:rsid w:val="2B8949E1"/>
    <w:rsid w:val="2BD83724"/>
    <w:rsid w:val="2BDC0DA6"/>
    <w:rsid w:val="2BEF4539"/>
    <w:rsid w:val="2BF943CE"/>
    <w:rsid w:val="2C0962EE"/>
    <w:rsid w:val="2C1219EC"/>
    <w:rsid w:val="2C1C0216"/>
    <w:rsid w:val="2C52330B"/>
    <w:rsid w:val="2C683B55"/>
    <w:rsid w:val="2C855575"/>
    <w:rsid w:val="2C90197F"/>
    <w:rsid w:val="2CA928E9"/>
    <w:rsid w:val="2CA95D57"/>
    <w:rsid w:val="2CCA41EB"/>
    <w:rsid w:val="2D196FB2"/>
    <w:rsid w:val="2D1E186D"/>
    <w:rsid w:val="2D2B2515"/>
    <w:rsid w:val="2D330F3B"/>
    <w:rsid w:val="2D331C47"/>
    <w:rsid w:val="2D486B9A"/>
    <w:rsid w:val="2D656192"/>
    <w:rsid w:val="2D711514"/>
    <w:rsid w:val="2D8023AA"/>
    <w:rsid w:val="2D985AF1"/>
    <w:rsid w:val="2DC22CB3"/>
    <w:rsid w:val="2DC2784B"/>
    <w:rsid w:val="2DD358F8"/>
    <w:rsid w:val="2DEC3A13"/>
    <w:rsid w:val="2DED0EA3"/>
    <w:rsid w:val="2E16701F"/>
    <w:rsid w:val="2E1E6FDC"/>
    <w:rsid w:val="2E3D188E"/>
    <w:rsid w:val="2E733DF1"/>
    <w:rsid w:val="2EB331A9"/>
    <w:rsid w:val="2EB46585"/>
    <w:rsid w:val="2EF50A3E"/>
    <w:rsid w:val="2F66207A"/>
    <w:rsid w:val="2F7D7EA4"/>
    <w:rsid w:val="2F8E3B01"/>
    <w:rsid w:val="2FC677D8"/>
    <w:rsid w:val="2FF07B10"/>
    <w:rsid w:val="2FFE11B5"/>
    <w:rsid w:val="301A1E0D"/>
    <w:rsid w:val="30236ED6"/>
    <w:rsid w:val="303904E6"/>
    <w:rsid w:val="30583F4E"/>
    <w:rsid w:val="305B71E9"/>
    <w:rsid w:val="30650FC2"/>
    <w:rsid w:val="306B11EB"/>
    <w:rsid w:val="307F7AC7"/>
    <w:rsid w:val="30A97D5C"/>
    <w:rsid w:val="30B118FA"/>
    <w:rsid w:val="30B47628"/>
    <w:rsid w:val="30B739E0"/>
    <w:rsid w:val="30C77F04"/>
    <w:rsid w:val="310B0CD4"/>
    <w:rsid w:val="31355BAD"/>
    <w:rsid w:val="3136141C"/>
    <w:rsid w:val="317C18E3"/>
    <w:rsid w:val="31C5360B"/>
    <w:rsid w:val="31D1622E"/>
    <w:rsid w:val="320638BE"/>
    <w:rsid w:val="32093FBF"/>
    <w:rsid w:val="32187817"/>
    <w:rsid w:val="32505913"/>
    <w:rsid w:val="32713713"/>
    <w:rsid w:val="328C550A"/>
    <w:rsid w:val="328C7C7D"/>
    <w:rsid w:val="32A33944"/>
    <w:rsid w:val="32AE66C9"/>
    <w:rsid w:val="32BC26E4"/>
    <w:rsid w:val="32EB3F77"/>
    <w:rsid w:val="32F523A7"/>
    <w:rsid w:val="33022884"/>
    <w:rsid w:val="33285279"/>
    <w:rsid w:val="334676D5"/>
    <w:rsid w:val="338F77E0"/>
    <w:rsid w:val="33A335C0"/>
    <w:rsid w:val="33A93FD2"/>
    <w:rsid w:val="33AA14D7"/>
    <w:rsid w:val="33AA3E10"/>
    <w:rsid w:val="33BE6970"/>
    <w:rsid w:val="33D85AC7"/>
    <w:rsid w:val="33E75130"/>
    <w:rsid w:val="33F848AC"/>
    <w:rsid w:val="34091384"/>
    <w:rsid w:val="341D19AD"/>
    <w:rsid w:val="342C3501"/>
    <w:rsid w:val="34364252"/>
    <w:rsid w:val="348F7295"/>
    <w:rsid w:val="349178C2"/>
    <w:rsid w:val="34A8071E"/>
    <w:rsid w:val="34B81ADB"/>
    <w:rsid w:val="34FB6DF1"/>
    <w:rsid w:val="35321868"/>
    <w:rsid w:val="35423643"/>
    <w:rsid w:val="354939FA"/>
    <w:rsid w:val="354D3B73"/>
    <w:rsid w:val="3553498F"/>
    <w:rsid w:val="3555351F"/>
    <w:rsid w:val="356E4380"/>
    <w:rsid w:val="357628D9"/>
    <w:rsid w:val="35812295"/>
    <w:rsid w:val="35B353BC"/>
    <w:rsid w:val="35CD59B5"/>
    <w:rsid w:val="35CE3C62"/>
    <w:rsid w:val="35D14F18"/>
    <w:rsid w:val="35FA7CE2"/>
    <w:rsid w:val="361B7FC5"/>
    <w:rsid w:val="361F67D0"/>
    <w:rsid w:val="36274583"/>
    <w:rsid w:val="36295829"/>
    <w:rsid w:val="36460534"/>
    <w:rsid w:val="36574737"/>
    <w:rsid w:val="36740C11"/>
    <w:rsid w:val="36BA021F"/>
    <w:rsid w:val="36BA760E"/>
    <w:rsid w:val="36CA4722"/>
    <w:rsid w:val="36EF207B"/>
    <w:rsid w:val="36F13B2C"/>
    <w:rsid w:val="371214F3"/>
    <w:rsid w:val="37327C84"/>
    <w:rsid w:val="37455C18"/>
    <w:rsid w:val="375230F9"/>
    <w:rsid w:val="37617267"/>
    <w:rsid w:val="379E215C"/>
    <w:rsid w:val="37B16A79"/>
    <w:rsid w:val="37D953C7"/>
    <w:rsid w:val="37EE3DAB"/>
    <w:rsid w:val="37EF48DD"/>
    <w:rsid w:val="37F71C34"/>
    <w:rsid w:val="37FC35B2"/>
    <w:rsid w:val="38440951"/>
    <w:rsid w:val="384B7534"/>
    <w:rsid w:val="38607EBF"/>
    <w:rsid w:val="38846310"/>
    <w:rsid w:val="38847EB5"/>
    <w:rsid w:val="38AC79EF"/>
    <w:rsid w:val="38B63B23"/>
    <w:rsid w:val="38B76B34"/>
    <w:rsid w:val="38C528CC"/>
    <w:rsid w:val="38EA2818"/>
    <w:rsid w:val="39123526"/>
    <w:rsid w:val="392E1E6A"/>
    <w:rsid w:val="3956135A"/>
    <w:rsid w:val="396A7DA2"/>
    <w:rsid w:val="39790516"/>
    <w:rsid w:val="397D6F6E"/>
    <w:rsid w:val="398361C4"/>
    <w:rsid w:val="3994375F"/>
    <w:rsid w:val="399B0311"/>
    <w:rsid w:val="3A012820"/>
    <w:rsid w:val="3A056A3C"/>
    <w:rsid w:val="3A2F5373"/>
    <w:rsid w:val="3A3B2956"/>
    <w:rsid w:val="3A454A5B"/>
    <w:rsid w:val="3A470E4A"/>
    <w:rsid w:val="3A763EB6"/>
    <w:rsid w:val="3AA273F6"/>
    <w:rsid w:val="3ABA248E"/>
    <w:rsid w:val="3AD07C54"/>
    <w:rsid w:val="3AF71353"/>
    <w:rsid w:val="3B0543EB"/>
    <w:rsid w:val="3B126494"/>
    <w:rsid w:val="3B224E18"/>
    <w:rsid w:val="3B2572D5"/>
    <w:rsid w:val="3B3376A2"/>
    <w:rsid w:val="3B50637C"/>
    <w:rsid w:val="3B5C0AF1"/>
    <w:rsid w:val="3B8F1D06"/>
    <w:rsid w:val="3B9816A2"/>
    <w:rsid w:val="3BA4425A"/>
    <w:rsid w:val="3BCF59A7"/>
    <w:rsid w:val="3C1D0222"/>
    <w:rsid w:val="3C34221F"/>
    <w:rsid w:val="3C37723C"/>
    <w:rsid w:val="3C6142EE"/>
    <w:rsid w:val="3C7371F1"/>
    <w:rsid w:val="3C7E0069"/>
    <w:rsid w:val="3C8D5BBD"/>
    <w:rsid w:val="3CAF528D"/>
    <w:rsid w:val="3CB52A2C"/>
    <w:rsid w:val="3CC02F5B"/>
    <w:rsid w:val="3CE71B70"/>
    <w:rsid w:val="3D0D3657"/>
    <w:rsid w:val="3D4B4A38"/>
    <w:rsid w:val="3D605EA2"/>
    <w:rsid w:val="3D7B3547"/>
    <w:rsid w:val="3D870315"/>
    <w:rsid w:val="3DCD7B50"/>
    <w:rsid w:val="3DE34B09"/>
    <w:rsid w:val="3DEE6DD6"/>
    <w:rsid w:val="3E0A6D87"/>
    <w:rsid w:val="3E8D1BE2"/>
    <w:rsid w:val="3E9A7EFA"/>
    <w:rsid w:val="3ED23D38"/>
    <w:rsid w:val="3EF3111F"/>
    <w:rsid w:val="3EF7286A"/>
    <w:rsid w:val="3F0709F4"/>
    <w:rsid w:val="3F1F4E99"/>
    <w:rsid w:val="3F3F3C4B"/>
    <w:rsid w:val="3F6524B3"/>
    <w:rsid w:val="3F8A48D9"/>
    <w:rsid w:val="3F8F361B"/>
    <w:rsid w:val="3FAA3FD9"/>
    <w:rsid w:val="3FBF637D"/>
    <w:rsid w:val="3FC92B70"/>
    <w:rsid w:val="3FE34C00"/>
    <w:rsid w:val="3FF51D33"/>
    <w:rsid w:val="3FF61AA9"/>
    <w:rsid w:val="3FF85392"/>
    <w:rsid w:val="3FFF7F8B"/>
    <w:rsid w:val="400B2911"/>
    <w:rsid w:val="404139C8"/>
    <w:rsid w:val="4049792A"/>
    <w:rsid w:val="404B473D"/>
    <w:rsid w:val="406652D2"/>
    <w:rsid w:val="40686007"/>
    <w:rsid w:val="40921FD6"/>
    <w:rsid w:val="409235BF"/>
    <w:rsid w:val="40F6716A"/>
    <w:rsid w:val="410369AE"/>
    <w:rsid w:val="410E6B45"/>
    <w:rsid w:val="41186393"/>
    <w:rsid w:val="414D2A36"/>
    <w:rsid w:val="415A20CD"/>
    <w:rsid w:val="41600FB8"/>
    <w:rsid w:val="416146D9"/>
    <w:rsid w:val="417E0BD2"/>
    <w:rsid w:val="418F19FE"/>
    <w:rsid w:val="423A080D"/>
    <w:rsid w:val="42414910"/>
    <w:rsid w:val="42587ACD"/>
    <w:rsid w:val="42767EE7"/>
    <w:rsid w:val="428555BA"/>
    <w:rsid w:val="428E221D"/>
    <w:rsid w:val="42EE6E6B"/>
    <w:rsid w:val="42FC0E1E"/>
    <w:rsid w:val="4305028C"/>
    <w:rsid w:val="43187518"/>
    <w:rsid w:val="43D1232D"/>
    <w:rsid w:val="43DB50BA"/>
    <w:rsid w:val="43E37FB6"/>
    <w:rsid w:val="44086895"/>
    <w:rsid w:val="44215CEC"/>
    <w:rsid w:val="442A5031"/>
    <w:rsid w:val="44D22523"/>
    <w:rsid w:val="44EF63E4"/>
    <w:rsid w:val="45013E51"/>
    <w:rsid w:val="45595323"/>
    <w:rsid w:val="455F2C13"/>
    <w:rsid w:val="457E2C9F"/>
    <w:rsid w:val="45BD0711"/>
    <w:rsid w:val="45BE0E65"/>
    <w:rsid w:val="45C85682"/>
    <w:rsid w:val="45DA79BE"/>
    <w:rsid w:val="46152931"/>
    <w:rsid w:val="4633526C"/>
    <w:rsid w:val="4642091D"/>
    <w:rsid w:val="46721C9F"/>
    <w:rsid w:val="4688020F"/>
    <w:rsid w:val="46B11461"/>
    <w:rsid w:val="46DC6229"/>
    <w:rsid w:val="46E07961"/>
    <w:rsid w:val="46E80892"/>
    <w:rsid w:val="46ED568A"/>
    <w:rsid w:val="46EF4A74"/>
    <w:rsid w:val="472F3219"/>
    <w:rsid w:val="4748193F"/>
    <w:rsid w:val="47647917"/>
    <w:rsid w:val="47C554D2"/>
    <w:rsid w:val="47D45E78"/>
    <w:rsid w:val="47EE3F25"/>
    <w:rsid w:val="483335A7"/>
    <w:rsid w:val="48344896"/>
    <w:rsid w:val="483E0F80"/>
    <w:rsid w:val="485205BB"/>
    <w:rsid w:val="486D0780"/>
    <w:rsid w:val="48743415"/>
    <w:rsid w:val="48762D84"/>
    <w:rsid w:val="48A36B81"/>
    <w:rsid w:val="48AA326B"/>
    <w:rsid w:val="48BA65EC"/>
    <w:rsid w:val="490F2B6E"/>
    <w:rsid w:val="495F73B9"/>
    <w:rsid w:val="49727EE3"/>
    <w:rsid w:val="497971F2"/>
    <w:rsid w:val="499C3363"/>
    <w:rsid w:val="49CA6076"/>
    <w:rsid w:val="49D5285B"/>
    <w:rsid w:val="49FA4660"/>
    <w:rsid w:val="4A044CC1"/>
    <w:rsid w:val="4A11062E"/>
    <w:rsid w:val="4A42284D"/>
    <w:rsid w:val="4A5425E2"/>
    <w:rsid w:val="4A8D09C1"/>
    <w:rsid w:val="4AD80EDA"/>
    <w:rsid w:val="4AEE26A5"/>
    <w:rsid w:val="4B5F1790"/>
    <w:rsid w:val="4BAB1564"/>
    <w:rsid w:val="4BEB36BB"/>
    <w:rsid w:val="4C047BFF"/>
    <w:rsid w:val="4C12349F"/>
    <w:rsid w:val="4C290CFD"/>
    <w:rsid w:val="4C317DC6"/>
    <w:rsid w:val="4C321074"/>
    <w:rsid w:val="4C377CD8"/>
    <w:rsid w:val="4C5B03F8"/>
    <w:rsid w:val="4C761305"/>
    <w:rsid w:val="4C7B582D"/>
    <w:rsid w:val="4C896ACE"/>
    <w:rsid w:val="4C916F9E"/>
    <w:rsid w:val="4C9A1E12"/>
    <w:rsid w:val="4CE35EE3"/>
    <w:rsid w:val="4CF40BC1"/>
    <w:rsid w:val="4D00252F"/>
    <w:rsid w:val="4D11103A"/>
    <w:rsid w:val="4D29584E"/>
    <w:rsid w:val="4D7268A5"/>
    <w:rsid w:val="4D905FAC"/>
    <w:rsid w:val="4DC742D9"/>
    <w:rsid w:val="4DE56BB7"/>
    <w:rsid w:val="4E1E0CDF"/>
    <w:rsid w:val="4E1E2C44"/>
    <w:rsid w:val="4E430E41"/>
    <w:rsid w:val="4E6F3667"/>
    <w:rsid w:val="4EAA2460"/>
    <w:rsid w:val="4EB254E2"/>
    <w:rsid w:val="4ED6002C"/>
    <w:rsid w:val="4EDE59F1"/>
    <w:rsid w:val="4EE26D11"/>
    <w:rsid w:val="4EE563A5"/>
    <w:rsid w:val="4EE704A2"/>
    <w:rsid w:val="4EEE5AD9"/>
    <w:rsid w:val="4EF95C2A"/>
    <w:rsid w:val="4F0D5C03"/>
    <w:rsid w:val="4F1B204B"/>
    <w:rsid w:val="4F3C7BF1"/>
    <w:rsid w:val="4F4C1C4D"/>
    <w:rsid w:val="4F8C1844"/>
    <w:rsid w:val="4F925590"/>
    <w:rsid w:val="4FC63348"/>
    <w:rsid w:val="4FCB360F"/>
    <w:rsid w:val="4FCB47B8"/>
    <w:rsid w:val="4FFC4007"/>
    <w:rsid w:val="502F2D08"/>
    <w:rsid w:val="504037AB"/>
    <w:rsid w:val="506B3013"/>
    <w:rsid w:val="509C2BBD"/>
    <w:rsid w:val="509F2CEF"/>
    <w:rsid w:val="50B16257"/>
    <w:rsid w:val="50D45BEA"/>
    <w:rsid w:val="50D810F5"/>
    <w:rsid w:val="51695C50"/>
    <w:rsid w:val="517A3B9E"/>
    <w:rsid w:val="51B85DC0"/>
    <w:rsid w:val="51D70636"/>
    <w:rsid w:val="51E32E25"/>
    <w:rsid w:val="51E84908"/>
    <w:rsid w:val="51ED36FD"/>
    <w:rsid w:val="52467001"/>
    <w:rsid w:val="524E238C"/>
    <w:rsid w:val="528F1106"/>
    <w:rsid w:val="52D267D2"/>
    <w:rsid w:val="52D60A6A"/>
    <w:rsid w:val="535B1BF4"/>
    <w:rsid w:val="53A27D7B"/>
    <w:rsid w:val="53CD7512"/>
    <w:rsid w:val="53CE4069"/>
    <w:rsid w:val="53D60A76"/>
    <w:rsid w:val="53F4152A"/>
    <w:rsid w:val="540A001E"/>
    <w:rsid w:val="5419703F"/>
    <w:rsid w:val="542853CF"/>
    <w:rsid w:val="54287A19"/>
    <w:rsid w:val="542E22E2"/>
    <w:rsid w:val="542E2F3B"/>
    <w:rsid w:val="542E4291"/>
    <w:rsid w:val="543B75C2"/>
    <w:rsid w:val="543D7DDF"/>
    <w:rsid w:val="5451520E"/>
    <w:rsid w:val="546A3C40"/>
    <w:rsid w:val="54773E96"/>
    <w:rsid w:val="547B5F74"/>
    <w:rsid w:val="547D6755"/>
    <w:rsid w:val="5497283A"/>
    <w:rsid w:val="54A61D68"/>
    <w:rsid w:val="54DF2EE5"/>
    <w:rsid w:val="54F731CB"/>
    <w:rsid w:val="54FE2CDD"/>
    <w:rsid w:val="55323F7E"/>
    <w:rsid w:val="556F7679"/>
    <w:rsid w:val="55957CC3"/>
    <w:rsid w:val="55A53E20"/>
    <w:rsid w:val="55AA4CD0"/>
    <w:rsid w:val="55DE448C"/>
    <w:rsid w:val="55E30AF8"/>
    <w:rsid w:val="560E784E"/>
    <w:rsid w:val="56184330"/>
    <w:rsid w:val="561B45A1"/>
    <w:rsid w:val="561D1D9D"/>
    <w:rsid w:val="56347F61"/>
    <w:rsid w:val="5673553E"/>
    <w:rsid w:val="567A6419"/>
    <w:rsid w:val="56BD2755"/>
    <w:rsid w:val="56C001A8"/>
    <w:rsid w:val="56E25487"/>
    <w:rsid w:val="56EE1818"/>
    <w:rsid w:val="570953DD"/>
    <w:rsid w:val="57447EDD"/>
    <w:rsid w:val="5754722D"/>
    <w:rsid w:val="575C65BB"/>
    <w:rsid w:val="57683705"/>
    <w:rsid w:val="577E6D1F"/>
    <w:rsid w:val="57BF3ACC"/>
    <w:rsid w:val="57C803A8"/>
    <w:rsid w:val="57DB5CAB"/>
    <w:rsid w:val="57E23783"/>
    <w:rsid w:val="583E5DDB"/>
    <w:rsid w:val="584650D1"/>
    <w:rsid w:val="587E04A6"/>
    <w:rsid w:val="58956005"/>
    <w:rsid w:val="589D51EA"/>
    <w:rsid w:val="58A91A2F"/>
    <w:rsid w:val="58BE763A"/>
    <w:rsid w:val="58C67177"/>
    <w:rsid w:val="58DD5ADD"/>
    <w:rsid w:val="5904717E"/>
    <w:rsid w:val="592C475B"/>
    <w:rsid w:val="593764DA"/>
    <w:rsid w:val="593F1EA5"/>
    <w:rsid w:val="59605ECB"/>
    <w:rsid w:val="59632A97"/>
    <w:rsid w:val="597B1881"/>
    <w:rsid w:val="5984029D"/>
    <w:rsid w:val="59AE1D54"/>
    <w:rsid w:val="59B17A29"/>
    <w:rsid w:val="59BE0DF8"/>
    <w:rsid w:val="59E5516C"/>
    <w:rsid w:val="59F81599"/>
    <w:rsid w:val="5A100D14"/>
    <w:rsid w:val="5A2E54DF"/>
    <w:rsid w:val="5A3F76AF"/>
    <w:rsid w:val="5A4D5143"/>
    <w:rsid w:val="5A701637"/>
    <w:rsid w:val="5A736F92"/>
    <w:rsid w:val="5A967720"/>
    <w:rsid w:val="5ABE6152"/>
    <w:rsid w:val="5ADA59DE"/>
    <w:rsid w:val="5AEF59E5"/>
    <w:rsid w:val="5B1475DE"/>
    <w:rsid w:val="5B86301D"/>
    <w:rsid w:val="5BF17959"/>
    <w:rsid w:val="5C097299"/>
    <w:rsid w:val="5C101BD8"/>
    <w:rsid w:val="5C143164"/>
    <w:rsid w:val="5C255303"/>
    <w:rsid w:val="5C53104A"/>
    <w:rsid w:val="5C542886"/>
    <w:rsid w:val="5C5B2EE9"/>
    <w:rsid w:val="5C6E72BF"/>
    <w:rsid w:val="5C77760B"/>
    <w:rsid w:val="5C8C2B60"/>
    <w:rsid w:val="5CA52351"/>
    <w:rsid w:val="5CAE30EB"/>
    <w:rsid w:val="5D223553"/>
    <w:rsid w:val="5D283CFE"/>
    <w:rsid w:val="5D290731"/>
    <w:rsid w:val="5D4A160C"/>
    <w:rsid w:val="5D4C6877"/>
    <w:rsid w:val="5D6A6B1B"/>
    <w:rsid w:val="5DA427EF"/>
    <w:rsid w:val="5DAB3BFE"/>
    <w:rsid w:val="5DB07F38"/>
    <w:rsid w:val="5DD73146"/>
    <w:rsid w:val="5DEA6684"/>
    <w:rsid w:val="5E115B8C"/>
    <w:rsid w:val="5E19141B"/>
    <w:rsid w:val="5E2604DF"/>
    <w:rsid w:val="5E2760AB"/>
    <w:rsid w:val="5E3D4702"/>
    <w:rsid w:val="5E4104C3"/>
    <w:rsid w:val="5E7C64E9"/>
    <w:rsid w:val="5E811B73"/>
    <w:rsid w:val="5E990F71"/>
    <w:rsid w:val="5EA863B7"/>
    <w:rsid w:val="5EAC7242"/>
    <w:rsid w:val="5EC30FAF"/>
    <w:rsid w:val="5EE010EF"/>
    <w:rsid w:val="5F281C03"/>
    <w:rsid w:val="5F392B21"/>
    <w:rsid w:val="5F3E6D1E"/>
    <w:rsid w:val="5F474A93"/>
    <w:rsid w:val="5F5052CF"/>
    <w:rsid w:val="5F5757C6"/>
    <w:rsid w:val="5F5D32C9"/>
    <w:rsid w:val="5F672AB7"/>
    <w:rsid w:val="5F852D7A"/>
    <w:rsid w:val="5FA32AA6"/>
    <w:rsid w:val="5FE118B2"/>
    <w:rsid w:val="5FF91BF1"/>
    <w:rsid w:val="60305ECB"/>
    <w:rsid w:val="6051036A"/>
    <w:rsid w:val="6056195F"/>
    <w:rsid w:val="606021D2"/>
    <w:rsid w:val="60A02734"/>
    <w:rsid w:val="60AC61ED"/>
    <w:rsid w:val="60BC15DA"/>
    <w:rsid w:val="60C459EA"/>
    <w:rsid w:val="60D015C7"/>
    <w:rsid w:val="60DE4E80"/>
    <w:rsid w:val="60E07DC7"/>
    <w:rsid w:val="60FC2274"/>
    <w:rsid w:val="6104477F"/>
    <w:rsid w:val="611B5A14"/>
    <w:rsid w:val="611E5DAE"/>
    <w:rsid w:val="6179747E"/>
    <w:rsid w:val="61936A07"/>
    <w:rsid w:val="619C7CD6"/>
    <w:rsid w:val="61D4025C"/>
    <w:rsid w:val="61ED3F14"/>
    <w:rsid w:val="621843F3"/>
    <w:rsid w:val="621952AD"/>
    <w:rsid w:val="621D45CE"/>
    <w:rsid w:val="621E264E"/>
    <w:rsid w:val="62224381"/>
    <w:rsid w:val="622F207F"/>
    <w:rsid w:val="62353BC6"/>
    <w:rsid w:val="623963B1"/>
    <w:rsid w:val="62683381"/>
    <w:rsid w:val="62A01784"/>
    <w:rsid w:val="62CF6A92"/>
    <w:rsid w:val="631D3F36"/>
    <w:rsid w:val="633B4DB9"/>
    <w:rsid w:val="63405386"/>
    <w:rsid w:val="634E6390"/>
    <w:rsid w:val="636E0D11"/>
    <w:rsid w:val="63860A53"/>
    <w:rsid w:val="638763A2"/>
    <w:rsid w:val="6388245D"/>
    <w:rsid w:val="63B33F14"/>
    <w:rsid w:val="64061915"/>
    <w:rsid w:val="64072ECF"/>
    <w:rsid w:val="646D5203"/>
    <w:rsid w:val="64731F0D"/>
    <w:rsid w:val="64866D7F"/>
    <w:rsid w:val="648B25C1"/>
    <w:rsid w:val="64C01EF5"/>
    <w:rsid w:val="65027AB7"/>
    <w:rsid w:val="651C317C"/>
    <w:rsid w:val="657679A0"/>
    <w:rsid w:val="65817613"/>
    <w:rsid w:val="65AB6FEB"/>
    <w:rsid w:val="65C9110E"/>
    <w:rsid w:val="65F353FD"/>
    <w:rsid w:val="661E7873"/>
    <w:rsid w:val="6620003E"/>
    <w:rsid w:val="662F31E1"/>
    <w:rsid w:val="665E77D4"/>
    <w:rsid w:val="66BD69BA"/>
    <w:rsid w:val="66E15F61"/>
    <w:rsid w:val="66EA057C"/>
    <w:rsid w:val="67076926"/>
    <w:rsid w:val="670B4E0C"/>
    <w:rsid w:val="671D1C88"/>
    <w:rsid w:val="671E2BF6"/>
    <w:rsid w:val="674F1727"/>
    <w:rsid w:val="675D58C7"/>
    <w:rsid w:val="67684F0A"/>
    <w:rsid w:val="6780383C"/>
    <w:rsid w:val="67881C5E"/>
    <w:rsid w:val="67963032"/>
    <w:rsid w:val="67C97A91"/>
    <w:rsid w:val="67CE04D2"/>
    <w:rsid w:val="67E65267"/>
    <w:rsid w:val="680648AC"/>
    <w:rsid w:val="6816031C"/>
    <w:rsid w:val="68263815"/>
    <w:rsid w:val="682B2AFB"/>
    <w:rsid w:val="68507B09"/>
    <w:rsid w:val="685A3088"/>
    <w:rsid w:val="68756DEA"/>
    <w:rsid w:val="688C0925"/>
    <w:rsid w:val="689352D5"/>
    <w:rsid w:val="68973CFF"/>
    <w:rsid w:val="68B42CC6"/>
    <w:rsid w:val="68B86E21"/>
    <w:rsid w:val="68BB5A4D"/>
    <w:rsid w:val="68E3700A"/>
    <w:rsid w:val="68E632DB"/>
    <w:rsid w:val="69040CBA"/>
    <w:rsid w:val="69344859"/>
    <w:rsid w:val="69350DF1"/>
    <w:rsid w:val="693B0911"/>
    <w:rsid w:val="69444886"/>
    <w:rsid w:val="69786997"/>
    <w:rsid w:val="699C7137"/>
    <w:rsid w:val="699F7D1C"/>
    <w:rsid w:val="69CB237C"/>
    <w:rsid w:val="69FE7D3A"/>
    <w:rsid w:val="6A001385"/>
    <w:rsid w:val="6A024D23"/>
    <w:rsid w:val="6A0275E2"/>
    <w:rsid w:val="6A08346F"/>
    <w:rsid w:val="6A0F31D1"/>
    <w:rsid w:val="6A256800"/>
    <w:rsid w:val="6A504C7E"/>
    <w:rsid w:val="6AA47646"/>
    <w:rsid w:val="6ACD4943"/>
    <w:rsid w:val="6AFB2561"/>
    <w:rsid w:val="6B063CB9"/>
    <w:rsid w:val="6B176DB4"/>
    <w:rsid w:val="6B20377C"/>
    <w:rsid w:val="6B2053C4"/>
    <w:rsid w:val="6B2C2BE6"/>
    <w:rsid w:val="6B4554DD"/>
    <w:rsid w:val="6B5509E2"/>
    <w:rsid w:val="6B771D5C"/>
    <w:rsid w:val="6B8C0C8F"/>
    <w:rsid w:val="6B9773B7"/>
    <w:rsid w:val="6BB0523B"/>
    <w:rsid w:val="6BC57636"/>
    <w:rsid w:val="6C1E78C7"/>
    <w:rsid w:val="6C363893"/>
    <w:rsid w:val="6C4102D4"/>
    <w:rsid w:val="6C7068FD"/>
    <w:rsid w:val="6CCA4DB6"/>
    <w:rsid w:val="6CCC3791"/>
    <w:rsid w:val="6CDA7144"/>
    <w:rsid w:val="6CEF413C"/>
    <w:rsid w:val="6D0452D5"/>
    <w:rsid w:val="6D0C404C"/>
    <w:rsid w:val="6D704A7E"/>
    <w:rsid w:val="6D9D1037"/>
    <w:rsid w:val="6DAC1D85"/>
    <w:rsid w:val="6DAC5E37"/>
    <w:rsid w:val="6DB71B68"/>
    <w:rsid w:val="6DBD035A"/>
    <w:rsid w:val="6DC05C0F"/>
    <w:rsid w:val="6DD36798"/>
    <w:rsid w:val="6E0C2EF3"/>
    <w:rsid w:val="6E482A95"/>
    <w:rsid w:val="6E545F72"/>
    <w:rsid w:val="6E6B4759"/>
    <w:rsid w:val="6E8012DE"/>
    <w:rsid w:val="6EDF41AB"/>
    <w:rsid w:val="6EE2798F"/>
    <w:rsid w:val="6EFE7855"/>
    <w:rsid w:val="6F122E5D"/>
    <w:rsid w:val="6F4D77D6"/>
    <w:rsid w:val="6F525533"/>
    <w:rsid w:val="6FAB58DF"/>
    <w:rsid w:val="6FB504D4"/>
    <w:rsid w:val="6FC72B51"/>
    <w:rsid w:val="6FFB21FC"/>
    <w:rsid w:val="6FFE70EC"/>
    <w:rsid w:val="70005C31"/>
    <w:rsid w:val="700F37A6"/>
    <w:rsid w:val="70B34F91"/>
    <w:rsid w:val="70BD07A2"/>
    <w:rsid w:val="70E87A2C"/>
    <w:rsid w:val="710544FF"/>
    <w:rsid w:val="7144737C"/>
    <w:rsid w:val="714474D0"/>
    <w:rsid w:val="715528A5"/>
    <w:rsid w:val="715A5764"/>
    <w:rsid w:val="71665980"/>
    <w:rsid w:val="71A16AB0"/>
    <w:rsid w:val="71C31F17"/>
    <w:rsid w:val="71D4661D"/>
    <w:rsid w:val="71EF2F1F"/>
    <w:rsid w:val="72166395"/>
    <w:rsid w:val="72177D49"/>
    <w:rsid w:val="72456F22"/>
    <w:rsid w:val="727257BF"/>
    <w:rsid w:val="72791832"/>
    <w:rsid w:val="72827DFD"/>
    <w:rsid w:val="72B21BF8"/>
    <w:rsid w:val="730A4217"/>
    <w:rsid w:val="731163CA"/>
    <w:rsid w:val="731435D2"/>
    <w:rsid w:val="73196EA9"/>
    <w:rsid w:val="73405ED0"/>
    <w:rsid w:val="734E5907"/>
    <w:rsid w:val="73877F1B"/>
    <w:rsid w:val="73894E82"/>
    <w:rsid w:val="73AC308A"/>
    <w:rsid w:val="73C42C54"/>
    <w:rsid w:val="73E57523"/>
    <w:rsid w:val="73F91465"/>
    <w:rsid w:val="740106D7"/>
    <w:rsid w:val="74064FAA"/>
    <w:rsid w:val="747A7A4A"/>
    <w:rsid w:val="747D4564"/>
    <w:rsid w:val="74933BA3"/>
    <w:rsid w:val="74A40E13"/>
    <w:rsid w:val="74AF71C8"/>
    <w:rsid w:val="74DA5652"/>
    <w:rsid w:val="75122FF7"/>
    <w:rsid w:val="754823FD"/>
    <w:rsid w:val="755D2FC3"/>
    <w:rsid w:val="757B55C9"/>
    <w:rsid w:val="75AB4E54"/>
    <w:rsid w:val="75B50891"/>
    <w:rsid w:val="75B5516C"/>
    <w:rsid w:val="75DA19B9"/>
    <w:rsid w:val="75DD68FF"/>
    <w:rsid w:val="7619741E"/>
    <w:rsid w:val="76403F3B"/>
    <w:rsid w:val="764D7DCC"/>
    <w:rsid w:val="76570A7E"/>
    <w:rsid w:val="765A2B26"/>
    <w:rsid w:val="76F65090"/>
    <w:rsid w:val="77034869"/>
    <w:rsid w:val="771C4622"/>
    <w:rsid w:val="77BC4BF7"/>
    <w:rsid w:val="77DF4375"/>
    <w:rsid w:val="78115173"/>
    <w:rsid w:val="78277ED3"/>
    <w:rsid w:val="782C4352"/>
    <w:rsid w:val="782E3E32"/>
    <w:rsid w:val="784A3968"/>
    <w:rsid w:val="785A1218"/>
    <w:rsid w:val="787863EA"/>
    <w:rsid w:val="787C07EE"/>
    <w:rsid w:val="788168CA"/>
    <w:rsid w:val="78966CC6"/>
    <w:rsid w:val="78B26953"/>
    <w:rsid w:val="78B4513F"/>
    <w:rsid w:val="78B66D3C"/>
    <w:rsid w:val="78D46BB2"/>
    <w:rsid w:val="78ED1962"/>
    <w:rsid w:val="79015462"/>
    <w:rsid w:val="79016BF5"/>
    <w:rsid w:val="79215BD0"/>
    <w:rsid w:val="79390E56"/>
    <w:rsid w:val="79450ACB"/>
    <w:rsid w:val="799814FD"/>
    <w:rsid w:val="79AB6D38"/>
    <w:rsid w:val="79AC16B7"/>
    <w:rsid w:val="79AF441F"/>
    <w:rsid w:val="79D22AD2"/>
    <w:rsid w:val="79FD7A91"/>
    <w:rsid w:val="7A013DD2"/>
    <w:rsid w:val="7A1E1EBE"/>
    <w:rsid w:val="7A355787"/>
    <w:rsid w:val="7A4D5DAB"/>
    <w:rsid w:val="7A5154CE"/>
    <w:rsid w:val="7A7A71DD"/>
    <w:rsid w:val="7A842335"/>
    <w:rsid w:val="7AEE4726"/>
    <w:rsid w:val="7B0C6CA4"/>
    <w:rsid w:val="7B2A2CFA"/>
    <w:rsid w:val="7B5754DA"/>
    <w:rsid w:val="7B752236"/>
    <w:rsid w:val="7BB3412B"/>
    <w:rsid w:val="7BC7491B"/>
    <w:rsid w:val="7BEE2E29"/>
    <w:rsid w:val="7BF46BC5"/>
    <w:rsid w:val="7C142263"/>
    <w:rsid w:val="7C4577E7"/>
    <w:rsid w:val="7C4E60F4"/>
    <w:rsid w:val="7C525F4E"/>
    <w:rsid w:val="7C625F51"/>
    <w:rsid w:val="7C7E358D"/>
    <w:rsid w:val="7CAF00AB"/>
    <w:rsid w:val="7CBF3FED"/>
    <w:rsid w:val="7CD71D39"/>
    <w:rsid w:val="7D086E3A"/>
    <w:rsid w:val="7D620DFB"/>
    <w:rsid w:val="7D664919"/>
    <w:rsid w:val="7D8752EA"/>
    <w:rsid w:val="7DAE54C3"/>
    <w:rsid w:val="7DAF3E88"/>
    <w:rsid w:val="7E082F60"/>
    <w:rsid w:val="7E2E6D99"/>
    <w:rsid w:val="7E321E5F"/>
    <w:rsid w:val="7E487356"/>
    <w:rsid w:val="7E561908"/>
    <w:rsid w:val="7E652A17"/>
    <w:rsid w:val="7E6A058D"/>
    <w:rsid w:val="7E8E63E0"/>
    <w:rsid w:val="7ECE563D"/>
    <w:rsid w:val="7EEE1794"/>
    <w:rsid w:val="7EF82D0F"/>
    <w:rsid w:val="7EFE3CF6"/>
    <w:rsid w:val="7F023DB4"/>
    <w:rsid w:val="7F484588"/>
    <w:rsid w:val="7F4D1D5A"/>
    <w:rsid w:val="7F645432"/>
    <w:rsid w:val="7F7B0002"/>
    <w:rsid w:val="7FA1055E"/>
    <w:rsid w:val="7FA92860"/>
    <w:rsid w:val="7FB84EC5"/>
    <w:rsid w:val="7FBF2BBE"/>
    <w:rsid w:val="7FC37967"/>
    <w:rsid w:val="7FD53049"/>
    <w:rsid w:val="7FEC2713"/>
    <w:rsid w:val="7FF63D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qFormat="1" w:unhideWhenUsed="0" w:uiPriority="99" w:semiHidden="0" w:name="Body Text Indent 3"/>
    <w:lsdException w:uiPriority="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iPriority="0" w:semiHidden="0" w:name="HTML Cite"/>
    <w:lsdException w:qFormat="1" w:uiPriority="0" w:semiHidden="0" w:name="HTML Code"/>
    <w:lsdException w:qFormat="1" w:uiPriority="0" w:semiHidden="0" w:name="HTML Definition"/>
    <w:lsdException w:uiPriority="0" w:name="HTML Keyboard"/>
    <w:lsdException w:uiPriority="0" w:name="HTML Preformatted"/>
    <w:lsdException w:uiPriority="0" w:name="HTML Sample"/>
    <w:lsdException w:uiPriority="0" w:name="HTML Typewriter"/>
    <w:lsdException w:qFormat="1" w:uiPriority="0" w:semiHidden="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38"/>
    <w:qFormat/>
    <w:uiPriority w:val="0"/>
    <w:pPr>
      <w:keepNext/>
      <w:numPr>
        <w:ilvl w:val="0"/>
        <w:numId w:val="1"/>
      </w:numPr>
      <w:spacing w:line="360" w:lineRule="auto"/>
      <w:ind w:firstLine="200" w:firstLineChars="200"/>
      <w:jc w:val="center"/>
      <w:outlineLvl w:val="0"/>
    </w:pPr>
    <w:rPr>
      <w:rFonts w:ascii="楷体_GB2312" w:hAnsi="Times New Roman" w:eastAsia="楷体_GB2312" w:cs="Times New Roman"/>
      <w:kern w:val="0"/>
      <w:sz w:val="28"/>
      <w:szCs w:val="28"/>
    </w:rPr>
  </w:style>
  <w:style w:type="paragraph" w:styleId="5">
    <w:name w:val="heading 2"/>
    <w:basedOn w:val="1"/>
    <w:next w:val="1"/>
    <w:link w:val="66"/>
    <w:qFormat/>
    <w:uiPriority w:val="99"/>
    <w:pPr>
      <w:keepNext/>
      <w:keepLines/>
      <w:numPr>
        <w:ilvl w:val="1"/>
        <w:numId w:val="1"/>
      </w:numPr>
      <w:spacing w:before="260" w:after="260" w:line="415" w:lineRule="auto"/>
      <w:ind w:firstLine="200" w:firstLineChars="200"/>
      <w:jc w:val="center"/>
      <w:outlineLvl w:val="1"/>
    </w:pPr>
    <w:rPr>
      <w:rFonts w:ascii="Arial" w:hAnsi="Arial" w:eastAsia="红豆幼黑体" w:cs="Times New Roman"/>
      <w:b/>
      <w:bCs/>
      <w:kern w:val="0"/>
      <w:sz w:val="44"/>
      <w:szCs w:val="44"/>
    </w:rPr>
  </w:style>
  <w:style w:type="paragraph" w:styleId="6">
    <w:name w:val="heading 3"/>
    <w:basedOn w:val="1"/>
    <w:next w:val="1"/>
    <w:qFormat/>
    <w:uiPriority w:val="0"/>
    <w:pPr>
      <w:keepNext/>
      <w:keepLines/>
      <w:numPr>
        <w:ilvl w:val="2"/>
        <w:numId w:val="1"/>
      </w:numPr>
      <w:spacing w:before="260" w:after="260" w:line="415" w:lineRule="auto"/>
      <w:outlineLvl w:val="2"/>
    </w:pPr>
    <w:rPr>
      <w:b/>
      <w:bCs/>
      <w:sz w:val="32"/>
      <w:szCs w:val="32"/>
    </w:rPr>
  </w:style>
  <w:style w:type="paragraph" w:styleId="7">
    <w:name w:val="heading 4"/>
    <w:basedOn w:val="1"/>
    <w:next w:val="1"/>
    <w:qFormat/>
    <w:uiPriority w:val="9"/>
    <w:pPr>
      <w:keepNext/>
      <w:keepLines/>
      <w:spacing w:before="280" w:after="290" w:line="376" w:lineRule="auto"/>
      <w:outlineLvl w:val="3"/>
    </w:pPr>
    <w:rPr>
      <w:rFonts w:ascii="Cambria" w:hAnsi="Cambria" w:cs="Times New Roman"/>
      <w:b/>
      <w:bCs/>
      <w:sz w:val="28"/>
      <w:szCs w:val="28"/>
    </w:rPr>
  </w:style>
  <w:style w:type="character" w:default="1" w:styleId="26">
    <w:name w:val="Default Paragraph Font"/>
    <w:unhideWhenUsed/>
    <w:qFormat/>
    <w:uiPriority w:val="1"/>
  </w:style>
  <w:style w:type="table" w:default="1" w:styleId="24">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style>
  <w:style w:type="paragraph" w:styleId="8">
    <w:name w:val="Normal Indent"/>
    <w:basedOn w:val="1"/>
    <w:qFormat/>
    <w:uiPriority w:val="0"/>
    <w:pPr>
      <w:ind w:firstLine="420"/>
    </w:pPr>
    <w:rPr>
      <w:szCs w:val="20"/>
    </w:rPr>
  </w:style>
  <w:style w:type="paragraph" w:styleId="9">
    <w:name w:val="annotation text"/>
    <w:basedOn w:val="1"/>
    <w:link w:val="64"/>
    <w:unhideWhenUsed/>
    <w:qFormat/>
    <w:uiPriority w:val="0"/>
    <w:pPr>
      <w:jc w:val="left"/>
    </w:pPr>
    <w:rPr>
      <w:rFonts w:cs="Times New Roman"/>
    </w:rPr>
  </w:style>
  <w:style w:type="paragraph" w:styleId="10">
    <w:name w:val="index 4"/>
    <w:basedOn w:val="1"/>
    <w:next w:val="1"/>
    <w:qFormat/>
    <w:uiPriority w:val="99"/>
    <w:pPr>
      <w:ind w:left="600" w:leftChars="600"/>
    </w:pPr>
    <w:rPr>
      <w:rFonts w:ascii="Verdana" w:hAnsi="Verdana"/>
      <w:szCs w:val="20"/>
    </w:rPr>
  </w:style>
  <w:style w:type="paragraph" w:styleId="11">
    <w:name w:val="Plain Text"/>
    <w:basedOn w:val="1"/>
    <w:unhideWhenUsed/>
    <w:qFormat/>
    <w:uiPriority w:val="0"/>
    <w:rPr>
      <w:rFonts w:hint="eastAsia" w:ascii="宋体" w:hAnsi="Courier New"/>
      <w:szCs w:val="20"/>
    </w:rPr>
  </w:style>
  <w:style w:type="paragraph" w:styleId="12">
    <w:name w:val="Date"/>
    <w:basedOn w:val="1"/>
    <w:next w:val="1"/>
    <w:qFormat/>
    <w:uiPriority w:val="0"/>
    <w:rPr>
      <w:rFonts w:ascii="Times New Roman" w:hAnsi="Times New Roman" w:eastAsia="宋体" w:cs="Times New Roman"/>
      <w:sz w:val="24"/>
      <w:szCs w:val="20"/>
    </w:rPr>
  </w:style>
  <w:style w:type="paragraph" w:styleId="13">
    <w:name w:val="Balloon Text"/>
    <w:basedOn w:val="1"/>
    <w:link w:val="62"/>
    <w:qFormat/>
    <w:uiPriority w:val="0"/>
    <w:rPr>
      <w:rFonts w:cs="Times New Roman"/>
      <w:sz w:val="18"/>
      <w:szCs w:val="18"/>
    </w:rPr>
  </w:style>
  <w:style w:type="paragraph" w:styleId="14">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5">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16">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7">
    <w:name w:val="Subtitle"/>
    <w:basedOn w:val="1"/>
    <w:next w:val="1"/>
    <w:link w:val="73"/>
    <w:qFormat/>
    <w:uiPriority w:val="0"/>
    <w:pPr>
      <w:spacing w:before="240" w:after="60" w:line="312" w:lineRule="auto"/>
      <w:jc w:val="center"/>
      <w:outlineLvl w:val="1"/>
    </w:pPr>
    <w:rPr>
      <w:rFonts w:ascii="Cambria" w:hAnsi="Cambria" w:cs="Times New Roman"/>
      <w:b/>
      <w:bCs/>
      <w:kern w:val="28"/>
      <w:sz w:val="32"/>
      <w:szCs w:val="32"/>
    </w:rPr>
  </w:style>
  <w:style w:type="paragraph" w:styleId="18">
    <w:name w:val="Body Text Indent 3"/>
    <w:basedOn w:val="1"/>
    <w:qFormat/>
    <w:uiPriority w:val="99"/>
    <w:pPr>
      <w:spacing w:before="120" w:after="120" w:line="264" w:lineRule="auto"/>
      <w:ind w:left="480"/>
    </w:pPr>
    <w:rPr>
      <w:b/>
      <w:bCs/>
      <w:kern w:val="0"/>
      <w:sz w:val="20"/>
      <w:szCs w:val="20"/>
    </w:rPr>
  </w:style>
  <w:style w:type="paragraph" w:styleId="19">
    <w:name w:val="toc 2"/>
    <w:basedOn w:val="1"/>
    <w:next w:val="1"/>
    <w:qFormat/>
    <w:uiPriority w:val="0"/>
    <w:pPr>
      <w:ind w:left="420" w:leftChars="200"/>
    </w:pPr>
  </w:style>
  <w:style w:type="paragraph" w:styleId="2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1">
    <w:name w:val="Title"/>
    <w:basedOn w:val="1"/>
    <w:next w:val="1"/>
    <w:qFormat/>
    <w:uiPriority w:val="0"/>
    <w:pPr>
      <w:widowControl/>
      <w:overflowPunct w:val="0"/>
      <w:autoSpaceDE w:val="0"/>
      <w:autoSpaceDN w:val="0"/>
      <w:adjustRightInd w:val="0"/>
      <w:spacing w:line="420" w:lineRule="exact"/>
      <w:jc w:val="center"/>
      <w:textAlignment w:val="baseline"/>
    </w:pPr>
    <w:rPr>
      <w:rFonts w:eastAsia="黑体"/>
      <w:b/>
      <w:kern w:val="0"/>
      <w:sz w:val="28"/>
      <w:szCs w:val="20"/>
      <w:lang w:val="en-GB"/>
    </w:rPr>
  </w:style>
  <w:style w:type="paragraph" w:styleId="22">
    <w:name w:val="annotation subject"/>
    <w:basedOn w:val="9"/>
    <w:next w:val="9"/>
    <w:link w:val="46"/>
    <w:unhideWhenUsed/>
    <w:qFormat/>
    <w:uiPriority w:val="0"/>
    <w:rPr>
      <w:b/>
      <w:bCs/>
    </w:rPr>
  </w:style>
  <w:style w:type="paragraph" w:styleId="23">
    <w:name w:val="Body Text First Indent 2"/>
    <w:basedOn w:val="1"/>
    <w:next w:val="1"/>
    <w:qFormat/>
    <w:uiPriority w:val="99"/>
    <w:pPr>
      <w:ind w:firstLine="420" w:firstLineChars="200"/>
    </w:pPr>
  </w:style>
  <w:style w:type="table" w:styleId="25">
    <w:name w:val="Table Grid"/>
    <w:basedOn w:val="2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0"/>
    <w:rPr>
      <w:b/>
      <w:bCs/>
    </w:rPr>
  </w:style>
  <w:style w:type="character" w:styleId="28">
    <w:name w:val="page number"/>
    <w:basedOn w:val="26"/>
    <w:qFormat/>
    <w:uiPriority w:val="0"/>
  </w:style>
  <w:style w:type="character" w:styleId="29">
    <w:name w:val="FollowedHyperlink"/>
    <w:basedOn w:val="26"/>
    <w:unhideWhenUsed/>
    <w:qFormat/>
    <w:uiPriority w:val="0"/>
    <w:rPr>
      <w:rFonts w:hint="eastAsia" w:ascii="微软雅黑" w:hAnsi="微软雅黑" w:eastAsia="微软雅黑" w:cs="微软雅黑"/>
      <w:color w:val="02396F"/>
      <w:u w:val="single"/>
    </w:rPr>
  </w:style>
  <w:style w:type="character" w:styleId="30">
    <w:name w:val="Emphasis"/>
    <w:basedOn w:val="26"/>
    <w:qFormat/>
    <w:uiPriority w:val="0"/>
  </w:style>
  <w:style w:type="character" w:styleId="31">
    <w:name w:val="HTML Definition"/>
    <w:basedOn w:val="26"/>
    <w:unhideWhenUsed/>
    <w:qFormat/>
    <w:uiPriority w:val="0"/>
  </w:style>
  <w:style w:type="character" w:styleId="32">
    <w:name w:val="HTML Variable"/>
    <w:basedOn w:val="26"/>
    <w:unhideWhenUsed/>
    <w:qFormat/>
    <w:uiPriority w:val="0"/>
  </w:style>
  <w:style w:type="character" w:styleId="33">
    <w:name w:val="Hyperlink"/>
    <w:basedOn w:val="26"/>
    <w:unhideWhenUsed/>
    <w:qFormat/>
    <w:uiPriority w:val="0"/>
    <w:rPr>
      <w:rFonts w:ascii="微软雅黑" w:hAnsi="微软雅黑" w:eastAsia="微软雅黑" w:cs="微软雅黑"/>
      <w:color w:val="02396F"/>
      <w:u w:val="single"/>
    </w:rPr>
  </w:style>
  <w:style w:type="character" w:styleId="34">
    <w:name w:val="HTML Code"/>
    <w:basedOn w:val="26"/>
    <w:unhideWhenUsed/>
    <w:qFormat/>
    <w:uiPriority w:val="0"/>
    <w:rPr>
      <w:rFonts w:ascii="Courier New" w:hAnsi="Courier New"/>
      <w:sz w:val="20"/>
    </w:rPr>
  </w:style>
  <w:style w:type="character" w:styleId="35">
    <w:name w:val="annotation reference"/>
    <w:unhideWhenUsed/>
    <w:qFormat/>
    <w:uiPriority w:val="0"/>
    <w:rPr>
      <w:sz w:val="21"/>
      <w:szCs w:val="21"/>
    </w:rPr>
  </w:style>
  <w:style w:type="character" w:styleId="36">
    <w:name w:val="HTML Cite"/>
    <w:basedOn w:val="26"/>
    <w:unhideWhenUsed/>
    <w:qFormat/>
    <w:uiPriority w:val="0"/>
  </w:style>
  <w:style w:type="character" w:customStyle="1" w:styleId="37">
    <w:name w:val="placehold"/>
    <w:basedOn w:val="26"/>
    <w:qFormat/>
    <w:uiPriority w:val="0"/>
  </w:style>
  <w:style w:type="character" w:customStyle="1" w:styleId="38">
    <w:name w:val="标题 1 Char"/>
    <w:basedOn w:val="26"/>
    <w:link w:val="4"/>
    <w:qFormat/>
    <w:uiPriority w:val="0"/>
    <w:rPr>
      <w:rFonts w:ascii="楷体_GB2312" w:eastAsia="楷体_GB2312" w:cs="楷体_GB2312"/>
      <w:sz w:val="28"/>
      <w:szCs w:val="28"/>
    </w:rPr>
  </w:style>
  <w:style w:type="character" w:customStyle="1" w:styleId="39">
    <w:name w:val="二级目录 Char"/>
    <w:link w:val="40"/>
    <w:qFormat/>
    <w:uiPriority w:val="99"/>
    <w:rPr>
      <w:rFonts w:ascii="Calibri" w:hAnsi="Calibri"/>
      <w:b/>
      <w:bCs/>
      <w:kern w:val="2"/>
      <w:sz w:val="28"/>
      <w:szCs w:val="28"/>
      <w:lang w:val="en-US" w:eastAsia="zh-CN" w:bidi="ar-SA"/>
    </w:rPr>
  </w:style>
  <w:style w:type="paragraph" w:customStyle="1" w:styleId="40">
    <w:name w:val="二级目录"/>
    <w:next w:val="1"/>
    <w:link w:val="39"/>
    <w:qFormat/>
    <w:uiPriority w:val="99"/>
    <w:pPr>
      <w:numPr>
        <w:ilvl w:val="0"/>
        <w:numId w:val="2"/>
      </w:numPr>
      <w:outlineLvl w:val="1"/>
    </w:pPr>
    <w:rPr>
      <w:rFonts w:ascii="Calibri" w:hAnsi="Calibri" w:eastAsia="宋体" w:cs="Times New Roman"/>
      <w:b/>
      <w:bCs/>
      <w:kern w:val="2"/>
      <w:sz w:val="28"/>
      <w:szCs w:val="28"/>
      <w:lang w:val="en-US" w:eastAsia="zh-CN" w:bidi="ar-SA"/>
    </w:rPr>
  </w:style>
  <w:style w:type="character" w:customStyle="1" w:styleId="41">
    <w:name w:val="gjfg"/>
    <w:basedOn w:val="26"/>
    <w:qFormat/>
    <w:uiPriority w:val="0"/>
  </w:style>
  <w:style w:type="character" w:customStyle="1" w:styleId="42">
    <w:name w:val="一级目录 Char"/>
    <w:link w:val="43"/>
    <w:qFormat/>
    <w:locked/>
    <w:uiPriority w:val="99"/>
    <w:rPr>
      <w:rFonts w:ascii="黑体" w:eastAsia="黑体"/>
      <w:b/>
      <w:bCs/>
      <w:kern w:val="2"/>
      <w:sz w:val="44"/>
      <w:szCs w:val="44"/>
      <w:lang w:val="en-US" w:eastAsia="zh-CN" w:bidi="ar-SA"/>
    </w:rPr>
  </w:style>
  <w:style w:type="paragraph" w:customStyle="1" w:styleId="43">
    <w:name w:val="一级目录"/>
    <w:next w:val="1"/>
    <w:link w:val="42"/>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character" w:customStyle="1" w:styleId="44">
    <w:name w:val="x-tab-strip-text14"/>
    <w:basedOn w:val="26"/>
    <w:qFormat/>
    <w:uiPriority w:val="0"/>
  </w:style>
  <w:style w:type="character" w:customStyle="1" w:styleId="45">
    <w:name w:val="x-tab-strip-text12"/>
    <w:basedOn w:val="26"/>
    <w:qFormat/>
    <w:uiPriority w:val="0"/>
    <w:rPr>
      <w:b/>
      <w:color w:val="15428B"/>
    </w:rPr>
  </w:style>
  <w:style w:type="character" w:customStyle="1" w:styleId="46">
    <w:name w:val="批注主题 Char"/>
    <w:link w:val="22"/>
    <w:semiHidden/>
    <w:qFormat/>
    <w:uiPriority w:val="0"/>
    <w:rPr>
      <w:rFonts w:ascii="Calibri" w:hAnsi="Calibri" w:cs="Calibri"/>
      <w:b/>
      <w:bCs/>
      <w:kern w:val="2"/>
      <w:sz w:val="21"/>
      <w:szCs w:val="21"/>
    </w:rPr>
  </w:style>
  <w:style w:type="character" w:customStyle="1" w:styleId="47">
    <w:name w:val="qxdate"/>
    <w:basedOn w:val="26"/>
    <w:qFormat/>
    <w:uiPriority w:val="0"/>
    <w:rPr>
      <w:color w:val="333333"/>
      <w:sz w:val="18"/>
      <w:szCs w:val="18"/>
    </w:rPr>
  </w:style>
  <w:style w:type="character" w:customStyle="1" w:styleId="48">
    <w:name w:val="on"/>
    <w:basedOn w:val="26"/>
    <w:qFormat/>
    <w:uiPriority w:val="0"/>
    <w:rPr>
      <w:rFonts w:ascii="Tahoma" w:hAnsi="Tahoma" w:eastAsia="Tahoma" w:cs="Tahoma"/>
      <w:color w:val="004080"/>
      <w:sz w:val="18"/>
      <w:szCs w:val="18"/>
      <w:shd w:val="clear" w:color="auto" w:fill="9FD6FF"/>
    </w:rPr>
  </w:style>
  <w:style w:type="character" w:customStyle="1" w:styleId="49">
    <w:name w:val="task-item-subject"/>
    <w:basedOn w:val="26"/>
    <w:qFormat/>
    <w:uiPriority w:val="0"/>
  </w:style>
  <w:style w:type="character" w:customStyle="1" w:styleId="50">
    <w:name w:val="x-tab-strip-text17"/>
    <w:basedOn w:val="26"/>
    <w:qFormat/>
    <w:uiPriority w:val="0"/>
    <w:rPr>
      <w:color w:val="02245B"/>
    </w:rPr>
  </w:style>
  <w:style w:type="character" w:customStyle="1" w:styleId="51">
    <w:name w:val="display"/>
    <w:basedOn w:val="26"/>
    <w:qFormat/>
    <w:uiPriority w:val="0"/>
    <w:rPr>
      <w:bdr w:val="single" w:color="AAAAAA" w:sz="6" w:space="0"/>
    </w:rPr>
  </w:style>
  <w:style w:type="character" w:customStyle="1" w:styleId="52">
    <w:name w:val="img"/>
    <w:basedOn w:val="26"/>
    <w:qFormat/>
    <w:uiPriority w:val="0"/>
  </w:style>
  <w:style w:type="character" w:customStyle="1" w:styleId="53">
    <w:name w:val="display1"/>
    <w:basedOn w:val="26"/>
    <w:qFormat/>
    <w:uiPriority w:val="0"/>
  </w:style>
  <w:style w:type="character" w:customStyle="1" w:styleId="54">
    <w:name w:val="btnbargray"/>
    <w:basedOn w:val="26"/>
    <w:qFormat/>
    <w:uiPriority w:val="0"/>
    <w:rPr>
      <w:color w:val="808080"/>
    </w:rPr>
  </w:style>
  <w:style w:type="character" w:customStyle="1" w:styleId="55">
    <w:name w:val="x-tab-strip-text15"/>
    <w:basedOn w:val="26"/>
    <w:qFormat/>
    <w:uiPriority w:val="0"/>
    <w:rPr>
      <w:color w:val="246BB3"/>
    </w:rPr>
  </w:style>
  <w:style w:type="character" w:customStyle="1" w:styleId="56">
    <w:name w:val="displayarti"/>
    <w:basedOn w:val="26"/>
    <w:qFormat/>
    <w:uiPriority w:val="0"/>
    <w:rPr>
      <w:color w:val="FFFFFF"/>
      <w:shd w:val="clear" w:color="auto" w:fill="A00000"/>
    </w:rPr>
  </w:style>
  <w:style w:type="character" w:customStyle="1" w:styleId="57">
    <w:name w:val="redfilefwwh"/>
    <w:basedOn w:val="26"/>
    <w:qFormat/>
    <w:uiPriority w:val="0"/>
    <w:rPr>
      <w:color w:val="BA2636"/>
      <w:sz w:val="18"/>
      <w:szCs w:val="18"/>
    </w:rPr>
  </w:style>
  <w:style w:type="character" w:customStyle="1" w:styleId="58">
    <w:name w:val="subdisplay1"/>
    <w:basedOn w:val="26"/>
    <w:qFormat/>
    <w:uiPriority w:val="0"/>
    <w:rPr>
      <w:color w:val="808080"/>
    </w:rPr>
  </w:style>
  <w:style w:type="character" w:customStyle="1" w:styleId="59">
    <w:name w:val="groupcaptionhandler"/>
    <w:basedOn w:val="26"/>
    <w:qFormat/>
    <w:uiPriority w:val="0"/>
  </w:style>
  <w:style w:type="character" w:customStyle="1" w:styleId="60">
    <w:name w:val="x-tab-strip-text11"/>
    <w:basedOn w:val="26"/>
    <w:qFormat/>
    <w:uiPriority w:val="0"/>
  </w:style>
  <w:style w:type="character" w:customStyle="1" w:styleId="61">
    <w:name w:val="display2"/>
    <w:basedOn w:val="26"/>
    <w:qFormat/>
    <w:uiPriority w:val="0"/>
  </w:style>
  <w:style w:type="character" w:customStyle="1" w:styleId="62">
    <w:name w:val="批注框文本 Char"/>
    <w:link w:val="13"/>
    <w:qFormat/>
    <w:uiPriority w:val="0"/>
    <w:rPr>
      <w:rFonts w:ascii="Calibri" w:hAnsi="Calibri" w:cs="Calibri"/>
      <w:kern w:val="2"/>
      <w:sz w:val="18"/>
      <w:szCs w:val="18"/>
    </w:rPr>
  </w:style>
  <w:style w:type="character" w:customStyle="1" w:styleId="63">
    <w:name w:val="x-tab-strip-text16"/>
    <w:basedOn w:val="26"/>
    <w:qFormat/>
    <w:uiPriority w:val="0"/>
    <w:rPr>
      <w:color w:val="012F5E"/>
    </w:rPr>
  </w:style>
  <w:style w:type="character" w:customStyle="1" w:styleId="64">
    <w:name w:val="批注文字 Char"/>
    <w:link w:val="9"/>
    <w:semiHidden/>
    <w:qFormat/>
    <w:uiPriority w:val="0"/>
    <w:rPr>
      <w:rFonts w:ascii="Calibri" w:hAnsi="Calibri" w:cs="Calibri"/>
      <w:kern w:val="2"/>
      <w:sz w:val="21"/>
      <w:szCs w:val="21"/>
    </w:rPr>
  </w:style>
  <w:style w:type="character" w:customStyle="1" w:styleId="65">
    <w:name w:val="redfilenumber"/>
    <w:basedOn w:val="26"/>
    <w:qFormat/>
    <w:uiPriority w:val="0"/>
    <w:rPr>
      <w:color w:val="BA2636"/>
      <w:sz w:val="18"/>
      <w:szCs w:val="18"/>
    </w:rPr>
  </w:style>
  <w:style w:type="character" w:customStyle="1" w:styleId="66">
    <w:name w:val="标题 2 Char"/>
    <w:link w:val="5"/>
    <w:qFormat/>
    <w:locked/>
    <w:uiPriority w:val="99"/>
    <w:rPr>
      <w:rFonts w:ascii="Arial" w:hAnsi="Arial" w:eastAsia="红豆幼黑体" w:cs="Arial"/>
      <w:b/>
      <w:bCs/>
      <w:sz w:val="44"/>
      <w:szCs w:val="44"/>
    </w:rPr>
  </w:style>
  <w:style w:type="character" w:customStyle="1" w:styleId="67">
    <w:name w:val="img1"/>
    <w:basedOn w:val="26"/>
    <w:qFormat/>
    <w:uiPriority w:val="0"/>
  </w:style>
  <w:style w:type="character" w:customStyle="1" w:styleId="68">
    <w:name w:val="cfdate"/>
    <w:basedOn w:val="26"/>
    <w:qFormat/>
    <w:uiPriority w:val="0"/>
    <w:rPr>
      <w:color w:val="333333"/>
      <w:sz w:val="18"/>
      <w:szCs w:val="18"/>
    </w:rPr>
  </w:style>
  <w:style w:type="character" w:customStyle="1" w:styleId="69">
    <w:name w:val="x-tab-strip-text18"/>
    <w:basedOn w:val="26"/>
    <w:qFormat/>
    <w:uiPriority w:val="0"/>
    <w:rPr>
      <w:color w:val="15428B"/>
    </w:rPr>
  </w:style>
  <w:style w:type="character" w:customStyle="1" w:styleId="70">
    <w:name w:val="x-tab-strip-text9"/>
    <w:basedOn w:val="26"/>
    <w:qFormat/>
    <w:uiPriority w:val="0"/>
    <w:rPr>
      <w:rFonts w:ascii="宋体" w:hAnsi="宋体" w:eastAsia="宋体" w:cs="宋体"/>
      <w:color w:val="416AA3"/>
      <w:sz w:val="18"/>
      <w:szCs w:val="18"/>
    </w:rPr>
  </w:style>
  <w:style w:type="character" w:customStyle="1" w:styleId="71">
    <w:name w:val="x-tab-strip-text13"/>
    <w:basedOn w:val="26"/>
    <w:qFormat/>
    <w:uiPriority w:val="0"/>
    <w:rPr>
      <w:color w:val="FFFFFF"/>
    </w:rPr>
  </w:style>
  <w:style w:type="character" w:customStyle="1" w:styleId="72">
    <w:name w:val="subdisplay"/>
    <w:basedOn w:val="26"/>
    <w:qFormat/>
    <w:uiPriority w:val="0"/>
    <w:rPr>
      <w:color w:val="808080"/>
    </w:rPr>
  </w:style>
  <w:style w:type="character" w:customStyle="1" w:styleId="73">
    <w:name w:val="副标题 Char"/>
    <w:link w:val="17"/>
    <w:qFormat/>
    <w:uiPriority w:val="0"/>
    <w:rPr>
      <w:rFonts w:ascii="Cambria" w:hAnsi="Cambria" w:cs="Times New Roman"/>
      <w:b/>
      <w:bCs/>
      <w:kern w:val="28"/>
      <w:sz w:val="32"/>
      <w:szCs w:val="32"/>
    </w:rPr>
  </w:style>
  <w:style w:type="character" w:customStyle="1" w:styleId="74">
    <w:name w:val="x-tab-strip-text10"/>
    <w:basedOn w:val="26"/>
    <w:qFormat/>
    <w:uiPriority w:val="0"/>
  </w:style>
  <w:style w:type="character" w:customStyle="1" w:styleId="75">
    <w:name w:val="x-tab-strip-text8"/>
    <w:basedOn w:val="26"/>
    <w:qFormat/>
    <w:uiPriority w:val="0"/>
  </w:style>
  <w:style w:type="paragraph" w:customStyle="1" w:styleId="76">
    <w:name w:val="Table Paragraph"/>
    <w:basedOn w:val="1"/>
    <w:qFormat/>
    <w:uiPriority w:val="1"/>
  </w:style>
  <w:style w:type="paragraph" w:styleId="77">
    <w:name w:val="List Paragraph"/>
    <w:basedOn w:val="1"/>
    <w:qFormat/>
    <w:uiPriority w:val="34"/>
    <w:pPr>
      <w:ind w:firstLine="420" w:firstLineChars="200"/>
    </w:pPr>
  </w:style>
  <w:style w:type="paragraph" w:customStyle="1" w:styleId="78">
    <w:name w:val="Char1"/>
    <w:basedOn w:val="1"/>
    <w:qFormat/>
    <w:uiPriority w:val="99"/>
    <w:rPr>
      <w:rFonts w:ascii="Tahoma" w:hAnsi="Tahoma" w:cs="Tahoma"/>
      <w:sz w:val="24"/>
      <w:szCs w:val="24"/>
    </w:rPr>
  </w:style>
  <w:style w:type="paragraph" w:customStyle="1" w:styleId="79">
    <w:name w:val="列出段落1"/>
    <w:basedOn w:val="1"/>
    <w:qFormat/>
    <w:uiPriority w:val="99"/>
    <w:pPr>
      <w:ind w:firstLine="420" w:firstLineChars="200"/>
    </w:pPr>
  </w:style>
  <w:style w:type="paragraph" w:customStyle="1" w:styleId="80">
    <w:name w:val="_Style 2"/>
    <w:basedOn w:val="1"/>
    <w:qFormat/>
    <w:uiPriority w:val="34"/>
    <w:pPr>
      <w:ind w:firstLine="420" w:firstLineChars="200"/>
    </w:pPr>
  </w:style>
  <w:style w:type="paragraph" w:customStyle="1" w:styleId="81">
    <w:name w:val="段"/>
    <w:qFormat/>
    <w:uiPriority w:val="99"/>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82">
    <w:name w:val="列表段落"/>
    <w:basedOn w:val="1"/>
    <w:qFormat/>
    <w:uiPriority w:val="34"/>
    <w:pPr>
      <w:ind w:firstLine="420" w:firstLineChars="200"/>
    </w:pPr>
  </w:style>
  <w:style w:type="paragraph" w:customStyle="1" w:styleId="83">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8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5">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86">
    <w:name w:val="表中文字"/>
    <w:basedOn w:val="1"/>
    <w:qFormat/>
    <w:uiPriority w:val="0"/>
    <w:rPr>
      <w:rFonts w:ascii="Times New Roman" w:hAnsi="Times New Roman" w:eastAsia="宋体" w:cs="Times New Roman"/>
      <w:kern w:val="0"/>
      <w:sz w:val="24"/>
      <w:szCs w:val="24"/>
    </w:rPr>
  </w:style>
  <w:style w:type="table" w:customStyle="1" w:styleId="87">
    <w:name w:val="Table Normal"/>
    <w:unhideWhenUsed/>
    <w:qFormat/>
    <w:uiPriority w:val="2"/>
    <w:pPr>
      <w:widowControl w:val="0"/>
      <w:autoSpaceDE w:val="0"/>
      <w:autoSpaceDN w:val="0"/>
    </w:pPr>
    <w:rPr>
      <w:sz w:val="22"/>
      <w:lang w:val="en-US" w:eastAsia="en-US" w:bidi="ar-SA"/>
    </w:rPr>
    <w:tblPr>
      <w:tblCellMar>
        <w:top w:w="0" w:type="dxa"/>
        <w:left w:w="0" w:type="dxa"/>
        <w:bottom w:w="0" w:type="dxa"/>
        <w:right w:w="0" w:type="dxa"/>
      </w:tblCellMar>
    </w:tblPr>
  </w:style>
  <w:style w:type="paragraph" w:customStyle="1" w:styleId="88">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89">
    <w:name w:val="正文2"/>
    <w:basedOn w:val="1"/>
    <w:qFormat/>
    <w:uiPriority w:val="99"/>
    <w:pPr>
      <w:spacing w:before="156" w:line="360" w:lineRule="auto"/>
      <w:ind w:firstLine="51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34</Pages>
  <Words>2991</Words>
  <Characters>17055</Characters>
  <Lines>142</Lines>
  <Paragraphs>40</Paragraphs>
  <TotalTime>13</TotalTime>
  <ScaleCrop>false</ScaleCrop>
  <LinksUpToDate>false</LinksUpToDate>
  <CharactersWithSpaces>20006</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2020-07-03T06:46:00Z</dcterms:created>
  <dc:creator>炎凉1383733811</dc:creator>
  <cp:lastModifiedBy>米苏</cp:lastModifiedBy>
  <cp:lastPrinted>2021-05-27T01:18:00Z</cp:lastPrinted>
  <dcterms:modified xsi:type="dcterms:W3CDTF">2021-07-19T08:13:56Z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KSOSaveFontToCloudKey">
    <vt:lpwstr>8068780_cloud</vt:lpwstr>
  </property>
  <property fmtid="{D5CDD505-2E9C-101B-9397-08002B2CF9AE}" pid="4" name="ICV">
    <vt:lpwstr>54B62DDAC8FC43549A48A2C3A298111E</vt:lpwstr>
  </property>
</Properties>
</file>