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52"/>
          <w:szCs w:val="52"/>
        </w:rPr>
      </w:pPr>
      <w:bookmarkStart w:id="0" w:name="_Toc341993112"/>
      <w:bookmarkStart w:id="1" w:name="_Toc341992707"/>
      <w:bookmarkStart w:id="2" w:name="_Toc337620797"/>
      <w:bookmarkStart w:id="3" w:name="_Toc341992627"/>
      <w:bookmarkStart w:id="4" w:name="_Toc341991041"/>
      <w:bookmarkStart w:id="5" w:name="_Toc337622980"/>
      <w:bookmarkStart w:id="6" w:name="_Toc342252860"/>
      <w:bookmarkStart w:id="7" w:name="_Toc341993786"/>
      <w:bookmarkStart w:id="8" w:name="_Toc342241484"/>
      <w:bookmarkStart w:id="9" w:name="_Toc341988481"/>
      <w:r>
        <w:rPr>
          <w:rFonts w:hint="eastAsia" w:asciiTheme="minorEastAsia" w:hAnsiTheme="minorEastAsia" w:eastAsiaTheme="minorEastAsia"/>
          <w:b/>
          <w:bCs/>
          <w:sz w:val="52"/>
          <w:szCs w:val="52"/>
        </w:rPr>
        <w:t>南京交通职业技术学院</w:t>
      </w:r>
      <w:r>
        <w:rPr>
          <w:rFonts w:hint="eastAsia" w:hAnsi="宋体" w:eastAsia="宋体"/>
          <w:b/>
          <w:bCs/>
          <w:sz w:val="52"/>
          <w:szCs w:val="52"/>
        </w:rPr>
        <w:t>EF楼学生宿舍阳台栏杆更换工程</w:t>
      </w:r>
      <w:r>
        <w:rPr>
          <w:rFonts w:hint="eastAsia" w:asciiTheme="minorEastAsia" w:hAnsiTheme="minorEastAsia" w:eastAsiaTheme="minorEastAsia"/>
          <w:b/>
          <w:bCs/>
          <w:sz w:val="52"/>
          <w:szCs w:val="52"/>
        </w:rPr>
        <w:t>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采购编号：JY2018111</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十</w:t>
      </w:r>
      <w:r>
        <w:rPr>
          <w:rFonts w:hint="eastAsia" w:asciiTheme="minorEastAsia" w:hAnsiTheme="minorEastAsia" w:eastAsiaTheme="minorEastAsia"/>
          <w:b/>
          <w:bCs/>
          <w:sz w:val="36"/>
          <w:szCs w:val="36"/>
          <w:lang w:eastAsia="zh-CN"/>
        </w:rPr>
        <w:t>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03987193"/>
      <w:bookmarkStart w:id="12" w:name="_Toc16938516"/>
      <w:bookmarkStart w:id="13" w:name="_Toc20823272"/>
      <w:bookmarkStart w:id="14" w:name="_Toc523127445"/>
      <w:bookmarkStart w:id="15" w:name="_Toc479757206"/>
      <w:bookmarkStart w:id="16" w:name="_Toc513029200"/>
      <w:bookmarkStart w:id="17" w:name="_Toc403986986"/>
      <w:bookmarkStart w:id="18" w:name="_Toc12061421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_Toc49090575"/>
      <w:bookmarkStart w:id="21" w:name="OLE_LINK1"/>
      <w:bookmarkStart w:id="22" w:name="OLE_LINK2"/>
      <w:bookmarkStart w:id="23" w:name="_Toc26554093"/>
      <w:bookmarkStart w:id="24" w:name="_Toc120614281"/>
      <w:bookmarkStart w:id="25" w:name="_Toc462564139"/>
      <w:bookmarkStart w:id="26" w:name="_Toc479757211"/>
      <w:bookmarkStart w:id="27" w:name="_Toc365619242"/>
      <w:bookmarkStart w:id="28" w:name="_Toc403401434"/>
      <w:bookmarkStart w:id="29" w:name="_Toc341992630"/>
      <w:bookmarkStart w:id="30" w:name="_Toc373781378"/>
      <w:bookmarkStart w:id="31" w:name="_Toc342241487"/>
      <w:bookmarkStart w:id="32" w:name="_Toc337620620"/>
      <w:bookmarkStart w:id="33" w:name="_Toc337622590"/>
      <w:bookmarkStart w:id="34" w:name="_Toc341991044"/>
      <w:bookmarkStart w:id="35" w:name="_Ref352791871"/>
      <w:bookmarkStart w:id="36" w:name="_Toc342252863"/>
      <w:bookmarkStart w:id="37" w:name="_Toc337584644"/>
      <w:bookmarkStart w:id="38" w:name="_Toc341988484"/>
      <w:bookmarkStart w:id="39" w:name="_Toc341993788"/>
      <w:bookmarkStart w:id="40" w:name="_Toc337622790"/>
      <w:bookmarkStart w:id="41" w:name="_Toc337622640"/>
      <w:bookmarkStart w:id="42" w:name="_Toc337622251"/>
      <w:bookmarkStart w:id="43" w:name="_Toc341992710"/>
      <w:bookmarkStart w:id="44" w:name="_Toc337620692"/>
      <w:bookmarkStart w:id="45" w:name="_Toc337620800"/>
      <w:bookmarkStart w:id="46" w:name="_Toc337584958"/>
      <w:bookmarkStart w:id="47" w:name="_Toc342497332"/>
      <w:bookmarkStart w:id="48" w:name="_Toc337622372"/>
      <w:bookmarkStart w:id="49" w:name="_Toc337584877"/>
      <w:bookmarkStart w:id="50" w:name="_Toc337622690"/>
      <w:bookmarkStart w:id="51" w:name="_Toc337622983"/>
      <w:bookmarkStart w:id="52" w:name="_Toc337622278"/>
      <w:bookmarkStart w:id="53" w:name="_Toc341993114"/>
      <w:bookmarkStart w:id="54" w:name="_Toc342374716"/>
      <w:bookmarkStart w:id="55" w:name="_Toc366517151"/>
      <w:bookmarkStart w:id="56" w:name="_Toc342558384"/>
      <w:bookmarkStart w:id="57" w:name="_Toc40356041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其EF楼学生宿舍阳台栏杆更换工程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项目名称：南京交通职业技术学院EF楼学生宿舍阳台栏杆更换工程项目</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JY2018111</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南京交通职业技术学院EF楼学生宿舍阳台栏杆更换工程项目</w:t>
      </w:r>
    </w:p>
    <w:p>
      <w:pPr>
        <w:widowControl/>
        <w:shd w:val="clear" w:color="auto" w:fill="FFFFFF"/>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凡有意参加的响应商，请于2018年1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（三）响应文件接收时间：2018年1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 xml:space="preserve">日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（四）响应文件递交截止时间及开启时间：2018年1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（二）磋商保证金：壹万捌仟圆整 (仅接受本票及汇票形式，不接受现金及其他形式)， 成交后转为履约保证金（履约保证金不足部分按合同规定金额补齐）。（本票或汇票不需要学校帐号）</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竞争性磋商文件编制：刘老师（女）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20823309"/>
      <w:bookmarkStart w:id="67" w:name="_Toc16938553"/>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5"/>
          <w:rFonts w:hint="eastAsia" w:cs="Arial" w:asciiTheme="minorEastAsia" w:hAnsiTheme="minorEastAsia" w:eastAsiaTheme="minorEastAsia"/>
          <w:i w:val="0"/>
          <w:iCs w:val="0"/>
          <w:sz w:val="21"/>
          <w:shd w:val="clear" w:color="auto" w:fill="FFFFFF"/>
        </w:rPr>
        <w:t>采购人</w:t>
      </w:r>
      <w:r>
        <w:rPr>
          <w:rStyle w:val="15"/>
          <w:rFonts w:cs="Arial" w:asciiTheme="minorEastAsia" w:hAnsiTheme="minorEastAsia" w:eastAsiaTheme="minorEastAsia"/>
          <w:i w:val="0"/>
          <w:iCs w:val="0"/>
          <w:sz w:val="21"/>
          <w:shd w:val="clear" w:color="auto" w:fill="FFFFFF"/>
        </w:rPr>
        <w:t>有权在</w:t>
      </w:r>
      <w:r>
        <w:rPr>
          <w:rStyle w:val="15"/>
          <w:rFonts w:hint="eastAsia" w:cs="Arial" w:asciiTheme="minorEastAsia" w:hAnsiTheme="minorEastAsia" w:eastAsiaTheme="minorEastAsia"/>
          <w:i w:val="0"/>
          <w:iCs w:val="0"/>
          <w:sz w:val="21"/>
          <w:shd w:val="clear" w:color="auto" w:fill="FFFFFF"/>
        </w:rPr>
        <w:t>磋商</w:t>
      </w:r>
      <w:r>
        <w:rPr>
          <w:rStyle w:val="15"/>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开工日期：2018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竣工工期：2018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合同订立时间：2018年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24"/>
          <w:szCs w:val="24"/>
        </w:rPr>
      </w:pPr>
      <w:bookmarkStart w:id="82" w:name="_Toc16941"/>
      <w:r>
        <w:rPr>
          <w:rFonts w:hint="eastAsia" w:asciiTheme="minorEastAsia" w:hAnsiTheme="minorEastAsia" w:eastAsiaTheme="minorEastAsia" w:cstheme="majorEastAsia"/>
          <w:sz w:val="24"/>
          <w:szCs w:val="24"/>
        </w:rPr>
        <w:t xml:space="preserve">第五章  </w:t>
      </w:r>
      <w:bookmarkEnd w:id="81"/>
      <w:r>
        <w:rPr>
          <w:rFonts w:hint="eastAsia" w:asciiTheme="minorEastAsia" w:hAnsiTheme="minorEastAsia" w:eastAsiaTheme="minorEastAsia" w:cstheme="majorEastAsia"/>
          <w:sz w:val="24"/>
          <w:szCs w:val="24"/>
        </w:rPr>
        <w:t>采购项目的技术规格、要求和数量等</w:t>
      </w:r>
      <w:bookmarkEnd w:id="82"/>
    </w:p>
    <w:bookmarkEnd w:id="20"/>
    <w:bookmarkEnd w:id="21"/>
    <w:bookmarkEnd w:id="22"/>
    <w:bookmarkEnd w:id="23"/>
    <w:bookmarkEnd w:id="24"/>
    <w:bookmarkEnd w:id="64"/>
    <w:p>
      <w:pPr>
        <w:widowControl/>
        <w:rPr>
          <w:rFonts w:asciiTheme="minorEastAsia" w:hAnsiTheme="minorEastAsia" w:eastAsiaTheme="minorEastAsia"/>
          <w:bCs/>
          <w:sz w:val="24"/>
          <w:szCs w:val="24"/>
        </w:rPr>
      </w:pPr>
      <w:bookmarkStart w:id="83" w:name="_Toc403987220"/>
      <w:r>
        <w:rPr>
          <w:rFonts w:hint="eastAsia" w:asciiTheme="minorEastAsia" w:hAnsiTheme="minorEastAsia" w:eastAsiaTheme="minorEastAsia"/>
          <w:bCs/>
          <w:sz w:val="24"/>
          <w:szCs w:val="24"/>
        </w:rPr>
        <w:t>一、项目名称：</w:t>
      </w:r>
      <w:r>
        <w:rPr>
          <w:rFonts w:hint="eastAsia" w:cs="宋体" w:asciiTheme="minorEastAsia" w:hAnsiTheme="minorEastAsia" w:eastAsiaTheme="minorEastAsia"/>
          <w:color w:val="000000"/>
          <w:sz w:val="24"/>
          <w:szCs w:val="24"/>
        </w:rPr>
        <w:t>南京交通职业技术学院EF楼学生宿舍阳台栏杆更换工程</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二、项目控制价：人民币99.54万。</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三、项目内容：</w:t>
      </w:r>
      <w:r>
        <w:rPr>
          <w:rFonts w:hint="eastAsia" w:cs="宋体" w:asciiTheme="minorEastAsia" w:hAnsiTheme="minorEastAsia" w:eastAsiaTheme="minorEastAsia"/>
          <w:color w:val="000000"/>
          <w:sz w:val="24"/>
          <w:szCs w:val="24"/>
        </w:rPr>
        <w:t>2018年度维修改造项目12：EF楼学生宿舍阳台栏杆更换工程</w:t>
      </w:r>
      <w:r>
        <w:rPr>
          <w:rFonts w:hint="eastAsia" w:asciiTheme="minorEastAsia" w:hAnsiTheme="minorEastAsia" w:eastAsiaTheme="minorEastAsia"/>
          <w:bCs/>
          <w:sz w:val="24"/>
          <w:szCs w:val="24"/>
        </w:rPr>
        <w:t>（清单见附件）。</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四、响应商资格</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2017-2019年度江苏省省级机关、事业单位限额内工程定点采购分包一、分包二成交单位。</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五、响应说明及要求（第3、4条必须在响应文件中做出书面承诺）</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响应商在认真阅读询价文件后须撰写服务承诺书并提供以下证明及资料：</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1、法定代表人身份证明和法定代表人对业务代表的正式授权书（一个单位不得委托多人代理，一人不得代理多个单位，否则响应无效）；</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3、成交人需承诺其承担的工程项目在合同期内全部验收合格。</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4、成交人需承诺不得将成交项目转包及其它违规行为，一经发现立即取消定点施工资格，并按相关法律法规上报处理。</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6、响应商根据项目情况，客观报价，如发现恶意报价行为，作废标处理。</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7、磋商保证金1.9万元，</w:t>
      </w:r>
      <w:r>
        <w:rPr>
          <w:rFonts w:hint="eastAsia" w:asciiTheme="minorEastAsia" w:hAnsiTheme="minorEastAsia" w:eastAsiaTheme="minorEastAsia"/>
          <w:bCs/>
          <w:sz w:val="24"/>
          <w:szCs w:val="24"/>
        </w:rPr>
        <w:t>成交后转为履约保证金。</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8、单项工程前期技术服务费用3000元（施工方案、招标控制价、招标清单等编制）由中标单位支付，支付时间为中标后20个工作日内。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9、单项工程提供详细施工技术方案及未来清单报价表（含综合单价分析表等），并附光盘。</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六、材质及质量要求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主材必须严格选用优质、环保、无腐蚀性产品，材料进场提供产品合格证并办理材料报验手续；施工规范符合现行国家规范；工程质量要求为：合格。</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主要材料品牌及样品提供要求：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1.不锈钢品牌：喜有沃、武进、太钢、银环等同档次或高于此档次产品；</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2.提供小样</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1）Φ63亚光304不锈钢管，壁厚2mm；Φ50亚光304不锈钢管，壁厚1.5mm横档；竖管用Φ25亚光304不锈钢管，壁厚1.2mm，净间距11cm，上述各10cm。</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2）固定100*100厚8MM镀锌钢板，1块。</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3）300*300修补地砖，1块。</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七、工期要求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20日历日，</w:t>
      </w:r>
      <w:r>
        <w:rPr>
          <w:rFonts w:hint="eastAsia" w:asciiTheme="minorEastAsia" w:hAnsiTheme="minorEastAsia" w:eastAsiaTheme="minorEastAsia"/>
          <w:bCs/>
          <w:sz w:val="24"/>
          <w:szCs w:val="24"/>
        </w:rPr>
        <w:t>开工日期以甲方通知为准。施工现场要保证不影响正常教学和办公。</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八、施工管理要求</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2、主材检测：业主可随时对工程主要材料选择送检，检测费用包含在响应价内，如发现以次充好或不合格材料，除及时更换合格产品外，每发现一处扣罚款2000元。</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3、主要材料进场须经业主确认。</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4、图纸设计若有不符合现行规范、规定、标准等或其他不到位之处，施工单位必须提出，待业主确认后再施工，否则因此造成的质量事故由施工单位承担。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5、隐蔽工程或部位必须报甲方同意后，方可进入下一步工序并自行留存相关资料，否则结算不予承认。</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6、施工管理中，未按规定要求（安全文明施工、质量标准等方面）进行施工、管理的，罚款300-500元/次。</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7、单项工程前期技术服务费用（施工方案、招标控制价、招标清单等编制）由中标单位支付，支付时间为成交后7个工作日内。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8、单项工程提供详细施工技术方案及未来清单报价表（含综合单价分析表等），并附光盘。</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九、响应报价</w:t>
      </w:r>
    </w:p>
    <w:p>
      <w:pPr>
        <w:widowControl/>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十、付款方式</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竣工并通过验收，付至合同价的60%；审计完毕付至审核结算价（全额发票）的95%；质保期满后无质量缺陷将5%质保金一次性免息支付。</w:t>
      </w: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br w:type="textWrapping"/>
      </w:r>
    </w:p>
    <w:p>
      <w:pPr>
        <w:jc w:val="center"/>
        <w:rPr>
          <w:rFonts w:asciiTheme="minorEastAsia" w:hAnsiTheme="minorEastAsia" w:eastAsiaTheme="minorEastAsia" w:cstheme="maj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955039"/>
      <w:bookmarkEnd w:id="85"/>
      <w:bookmarkStart w:id="86" w:name="_Hlt26671244"/>
      <w:bookmarkEnd w:id="86"/>
      <w:bookmarkStart w:id="87" w:name="_Toc120614282"/>
      <w:bookmarkStart w:id="88" w:name="_Toc49090576"/>
      <w:bookmarkStart w:id="8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2017年度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center"/>
        <w:rPr>
          <w:rStyle w:val="22"/>
          <w:rFonts w:asciiTheme="minorEastAsia" w:hAnsiTheme="minorEastAsia" w:eastAsiaTheme="minorEastAsia"/>
          <w:color w:val="auto"/>
          <w:sz w:val="21"/>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2"/>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351731637"/>
      <w:bookmarkStart w:id="91" w:name="_Toc464724913"/>
      <w:bookmarkStart w:id="92" w:name="_Toc465082424"/>
      <w:bookmarkStart w:id="93"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w:t>
      </w:r>
      <w:bookmarkStart w:id="94" w:name="_GoBack"/>
      <w:bookmarkEnd w:id="94"/>
      <w:r>
        <w:rPr>
          <w:rFonts w:hint="eastAsia" w:asciiTheme="minorEastAsia" w:hAnsiTheme="minorEastAsia" w:eastAsiaTheme="minorEastAsia"/>
          <w:sz w:val="21"/>
        </w:rPr>
        <w:t>，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29</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5547EF2"/>
    <w:rsid w:val="055D3862"/>
    <w:rsid w:val="05A80354"/>
    <w:rsid w:val="082A085F"/>
    <w:rsid w:val="0D206993"/>
    <w:rsid w:val="0F2954C2"/>
    <w:rsid w:val="13765BE1"/>
    <w:rsid w:val="15150FC3"/>
    <w:rsid w:val="177C42CC"/>
    <w:rsid w:val="18E67D5A"/>
    <w:rsid w:val="199E024F"/>
    <w:rsid w:val="1E2F0815"/>
    <w:rsid w:val="1E3C72FE"/>
    <w:rsid w:val="201C2A60"/>
    <w:rsid w:val="21365382"/>
    <w:rsid w:val="23E541A3"/>
    <w:rsid w:val="262E3722"/>
    <w:rsid w:val="28A1440C"/>
    <w:rsid w:val="28C6043E"/>
    <w:rsid w:val="2CE87CA2"/>
    <w:rsid w:val="2DFB34F3"/>
    <w:rsid w:val="31225F10"/>
    <w:rsid w:val="33932BE6"/>
    <w:rsid w:val="33BC1180"/>
    <w:rsid w:val="34FD7862"/>
    <w:rsid w:val="353848F1"/>
    <w:rsid w:val="35F654F2"/>
    <w:rsid w:val="36B742F3"/>
    <w:rsid w:val="37DB0A41"/>
    <w:rsid w:val="3910217E"/>
    <w:rsid w:val="39FB1D26"/>
    <w:rsid w:val="3A3003A1"/>
    <w:rsid w:val="42006AC6"/>
    <w:rsid w:val="44FA448C"/>
    <w:rsid w:val="4720386C"/>
    <w:rsid w:val="49655E8C"/>
    <w:rsid w:val="4A062164"/>
    <w:rsid w:val="4BB5371F"/>
    <w:rsid w:val="4DAA66B9"/>
    <w:rsid w:val="4FF7030B"/>
    <w:rsid w:val="5020390E"/>
    <w:rsid w:val="50C14D82"/>
    <w:rsid w:val="54383383"/>
    <w:rsid w:val="54860917"/>
    <w:rsid w:val="555039D2"/>
    <w:rsid w:val="55570EFF"/>
    <w:rsid w:val="564B4A20"/>
    <w:rsid w:val="56A0323C"/>
    <w:rsid w:val="56F12796"/>
    <w:rsid w:val="5A2027F8"/>
    <w:rsid w:val="5B3311C3"/>
    <w:rsid w:val="63033838"/>
    <w:rsid w:val="6774251A"/>
    <w:rsid w:val="68C732CF"/>
    <w:rsid w:val="69644C01"/>
    <w:rsid w:val="6A237128"/>
    <w:rsid w:val="6C7F18D1"/>
    <w:rsid w:val="6D771B7F"/>
    <w:rsid w:val="6E9F1E20"/>
    <w:rsid w:val="704F6B31"/>
    <w:rsid w:val="70B94642"/>
    <w:rsid w:val="711B0440"/>
    <w:rsid w:val="71AD019D"/>
    <w:rsid w:val="72315292"/>
    <w:rsid w:val="728F2AA4"/>
    <w:rsid w:val="72BD0BF0"/>
    <w:rsid w:val="73C345F4"/>
    <w:rsid w:val="73EE345D"/>
    <w:rsid w:val="783A485F"/>
    <w:rsid w:val="783B34E0"/>
    <w:rsid w:val="78F67F05"/>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17</TotalTime>
  <ScaleCrop>false</ScaleCrop>
  <LinksUpToDate>false</LinksUpToDate>
  <CharactersWithSpaces>16707</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2018-12-04T01:18:07Z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