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spacing w:line="640" w:lineRule="exact"/>
        <w:jc w:val="both"/>
        <w:rPr>
          <w:rFonts w:hint="eastAsia" w:ascii="楷体" w:hAnsi="楷体" w:eastAsia="楷体" w:cs="楷体"/>
          <w:b/>
          <w:bCs/>
          <w:sz w:val="40"/>
          <w:szCs w:val="40"/>
          <w:lang w:val="en-US" w:eastAsia="zh-CN"/>
        </w:rPr>
      </w:pPr>
      <w:r>
        <w:rPr>
          <w:rFonts w:hint="eastAsia" w:ascii="楷体" w:hAnsi="楷体" w:eastAsia="楷体" w:cs="楷体"/>
          <w:b/>
          <w:bCs/>
          <w:sz w:val="40"/>
          <w:szCs w:val="40"/>
          <w:lang w:val="en-US" w:eastAsia="zh-CN"/>
        </w:rPr>
        <w:t>项目名称：南京交通职业技术学院</w:t>
      </w:r>
      <w:r>
        <w:rPr>
          <w:rFonts w:hint="default" w:ascii="楷体" w:hAnsi="楷体" w:eastAsia="楷体" w:cs="楷体"/>
          <w:b/>
          <w:bCs/>
          <w:sz w:val="40"/>
          <w:szCs w:val="40"/>
          <w:lang w:val="en-US" w:eastAsia="zh-CN"/>
        </w:rPr>
        <w:t>行健馆226室报告厅改造</w:t>
      </w:r>
      <w:r>
        <w:rPr>
          <w:rFonts w:hint="eastAsia" w:ascii="楷体" w:hAnsi="楷体" w:eastAsia="楷体" w:cs="楷体"/>
          <w:b/>
          <w:bCs/>
          <w:sz w:val="40"/>
          <w:szCs w:val="40"/>
          <w:lang w:val="en-US" w:eastAsia="zh-CN"/>
        </w:rPr>
        <w:t>工程采购项目</w:t>
      </w:r>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w:t>
      </w:r>
      <w:r>
        <w:rPr>
          <w:rFonts w:hint="eastAsia" w:ascii="楷体" w:hAnsi="楷体" w:eastAsia="楷体" w:cs="楷体"/>
          <w:b/>
          <w:bCs/>
          <w:sz w:val="40"/>
          <w:szCs w:val="40"/>
          <w:lang w:val="en-US" w:eastAsia="zh-CN"/>
        </w:rPr>
        <w:t>144</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十一</w:t>
      </w:r>
      <w:r>
        <w:rPr>
          <w:rFonts w:hint="eastAsia" w:ascii="楷体" w:hAnsi="楷体" w:eastAsia="楷体" w:cs="楷体"/>
          <w:b/>
          <w:bCs/>
          <w:sz w:val="36"/>
          <w:szCs w:val="36"/>
        </w:rPr>
        <w:t>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523127445"/>
      <w:bookmarkStart w:id="2" w:name="_Toc513029200"/>
      <w:bookmarkStart w:id="3" w:name="_Toc16938516"/>
      <w:bookmarkStart w:id="4" w:name="_Toc20823272"/>
      <w:bookmarkStart w:id="5" w:name="_Toc47975720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10896"/>
      <w:bookmarkStart w:id="7" w:name="_Toc324237145"/>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行健馆226室报告厅改造工程项目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w:t>
            </w:r>
            <w:r>
              <w:rPr>
                <w:rFonts w:hint="eastAsia" w:ascii="楷体" w:hAnsi="楷体" w:eastAsia="楷体" w:cs="楷体"/>
                <w:b/>
                <w:bCs/>
                <w:sz w:val="24"/>
                <w:szCs w:val="24"/>
                <w:lang w:eastAsia="zh-CN"/>
              </w:rPr>
              <w:t>京交通职业技术学院行健馆226室报告厅改造工程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张</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729</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行健馆226室报告厅改造工程</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2、预算19.25万元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11</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12</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11</w:t>
            </w:r>
            <w:r>
              <w:rPr>
                <w:rFonts w:hint="eastAsia" w:ascii="楷体" w:hAnsi="楷体" w:eastAsia="楷体" w:cs="楷体"/>
                <w:sz w:val="24"/>
                <w:szCs w:val="24"/>
              </w:rPr>
              <w:t>月</w:t>
            </w:r>
            <w:r>
              <w:rPr>
                <w:rFonts w:hint="eastAsia" w:ascii="楷体" w:hAnsi="楷体" w:eastAsia="楷体" w:cs="楷体"/>
                <w:sz w:val="24"/>
                <w:szCs w:val="24"/>
                <w:lang w:val="en-US" w:eastAsia="zh-CN"/>
              </w:rPr>
              <w:t>9日上午9点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120614211"/>
      <w:bookmarkStart w:id="15" w:name="_Toc324237146"/>
    </w:p>
    <w:p>
      <w:pPr>
        <w:snapToGrid w:val="0"/>
        <w:spacing w:line="360" w:lineRule="auto"/>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建筑装修装饰工程专业承包三级（或乙级）及以上资质（提供有效期内的资质证书复印件并加盖公章；</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80" w:firstLineChars="200"/>
        <w:rPr>
          <w:rFonts w:hint="eastAsia" w:ascii="楷体" w:hAnsi="楷体" w:eastAsia="楷体" w:cs="楷体"/>
          <w:sz w:val="24"/>
          <w:szCs w:val="24"/>
          <w:lang w:eastAsia="zh-CN"/>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p>
    <w:p>
      <w:pPr>
        <w:spacing w:line="360" w:lineRule="auto"/>
        <w:rPr>
          <w:rFonts w:hint="eastAsia" w:ascii="楷体" w:hAnsi="楷体" w:eastAsia="楷体" w:cs="楷体"/>
          <w:sz w:val="24"/>
          <w:szCs w:val="24"/>
        </w:rPr>
      </w:pP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11</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9日上午9点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11</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12</w:t>
      </w:r>
      <w:bookmarkStart w:id="137" w:name="_GoBack"/>
      <w:bookmarkEnd w:id="137"/>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115729</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61149549"/>
      <w:bookmarkStart w:id="24" w:name="_Toc14577347"/>
      <w:bookmarkStart w:id="25" w:name="_Toc513029209"/>
      <w:bookmarkStart w:id="26" w:name="_Toc479757207"/>
      <w:bookmarkStart w:id="27" w:name="_Toc324237147"/>
      <w:bookmarkStart w:id="28" w:name="_Toc513029242"/>
      <w:bookmarkStart w:id="29" w:name="_Toc20823314"/>
      <w:bookmarkStart w:id="30" w:name="_Toc120614221"/>
      <w:bookmarkStart w:id="31" w:name="_Toc16938558"/>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16938553"/>
      <w:bookmarkStart w:id="36" w:name="_Toc20823309"/>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487210477"/>
      <w:bookmarkStart w:id="43" w:name="_Toc163"/>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28167"/>
      <w:bookmarkStart w:id="53" w:name="_Toc32263"/>
      <w:bookmarkStart w:id="54" w:name="_Toc324237148"/>
      <w:bookmarkStart w:id="55" w:name="_Toc120614281"/>
      <w:bookmarkStart w:id="56" w:name="_Toc49090575"/>
      <w:bookmarkStart w:id="57" w:name="_Toc26554093"/>
      <w:bookmarkStart w:id="58" w:name="_Toc462564139"/>
      <w:bookmarkStart w:id="59" w:name="_Toc479757211"/>
      <w:r>
        <w:rPr>
          <w:rFonts w:hint="eastAsia" w:ascii="楷体" w:hAnsi="楷体" w:eastAsia="楷体" w:cs="楷体"/>
          <w:sz w:val="40"/>
        </w:rPr>
        <w:t>第三章  项目需求</w:t>
      </w:r>
      <w:bookmarkEnd w:id="52"/>
      <w:bookmarkEnd w:id="53"/>
      <w:bookmarkEnd w:id="54"/>
      <w:bookmarkStart w:id="60" w:name="_Toc324237156"/>
      <w:bookmarkStart w:id="61" w:name="_Toc18960"/>
    </w:p>
    <w:bookmarkEnd w:id="60"/>
    <w:bookmarkEnd w:id="61"/>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bookmarkStart w:id="62" w:name="_Toc403987220"/>
      <w:bookmarkStart w:id="63" w:name="_Toc15880"/>
      <w:bookmarkStart w:id="64" w:name="_Toc24347"/>
      <w:bookmarkStart w:id="65" w:name="_Toc324237157"/>
      <w:bookmarkStart w:id="66" w:name="_Toc273"/>
      <w:bookmarkStart w:id="67" w:name="_Toc8457"/>
      <w:r>
        <w:rPr>
          <w:rFonts w:hint="eastAsia" w:hAnsi="宋体"/>
          <w:bCs/>
          <w:color w:val="auto"/>
          <w:highlight w:val="none"/>
        </w:rPr>
        <w:t>一、项</w:t>
      </w:r>
      <w:r>
        <w:rPr>
          <w:rFonts w:hint="eastAsia" w:hAnsi="宋体"/>
          <w:bCs/>
          <w:color w:val="auto"/>
          <w:szCs w:val="22"/>
          <w:highlight w:val="none"/>
        </w:rPr>
        <w:t>目名称：南京交通职业技术学院行健馆226室报告厅改造</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二</w:t>
      </w:r>
      <w:r>
        <w:rPr>
          <w:rFonts w:hint="eastAsia" w:hAnsi="宋体"/>
          <w:bCs/>
          <w:color w:val="auto"/>
          <w:highlight w:val="none"/>
        </w:rPr>
        <w:t>、项目内容：</w:t>
      </w:r>
      <w:r>
        <w:rPr>
          <w:rFonts w:hint="eastAsia" w:hAnsi="宋体"/>
          <w:bCs/>
          <w:color w:val="auto"/>
          <w:szCs w:val="22"/>
          <w:highlight w:val="none"/>
        </w:rPr>
        <w:t>南京交通职业技术学院行健馆226室报告厅改造</w:t>
      </w:r>
      <w:r>
        <w:rPr>
          <w:rFonts w:hint="eastAsia" w:hAnsi="宋体"/>
          <w:bCs/>
          <w:color w:val="auto"/>
          <w:highlight w:val="none"/>
        </w:rPr>
        <w:t>（清单见附件）具体工作内容详见招标工程量清单及合同条款，且不得拒绝执行为完成全部工程而须执行的可能遗漏的工作。采购人保留调整发包范围的权利，供应商不得提出异议。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具体</w:t>
      </w:r>
      <w:r>
        <w:rPr>
          <w:rFonts w:hint="eastAsia" w:hAnsi="宋体"/>
          <w:bCs/>
          <w:highlight w:val="none"/>
          <w:lang w:eastAsia="zh-CN"/>
        </w:rPr>
        <w:t>工作内容</w:t>
      </w:r>
      <w:r>
        <w:rPr>
          <w:rFonts w:hint="eastAsia" w:hAnsi="宋体"/>
          <w:bCs/>
          <w:highlight w:val="none"/>
        </w:rPr>
        <w:t>详见招标工程量清单及合同条款，且不得拒绝执行为完成全部工程而须执行的可能遗漏的工作。采购人保留调整发包范围的权利，响应商不得提出异议。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三</w:t>
      </w:r>
      <w:r>
        <w:rPr>
          <w:rFonts w:hint="eastAsia" w:hAnsi="宋体"/>
          <w:bCs/>
          <w:highlight w:val="none"/>
        </w:rPr>
        <w:t>、响应说明及要求（</w:t>
      </w:r>
      <w:r>
        <w:rPr>
          <w:rFonts w:hint="eastAsia" w:hAnsi="宋体"/>
          <w:b/>
          <w:bCs w:val="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w:t>
      </w:r>
      <w:r>
        <w:rPr>
          <w:rFonts w:hint="eastAsia" w:hAnsi="宋体"/>
          <w:bCs/>
          <w:highlight w:val="yellow"/>
        </w:rPr>
        <w:t>金</w:t>
      </w:r>
      <w:r>
        <w:rPr>
          <w:rFonts w:hint="eastAsia" w:hAnsi="宋体"/>
          <w:bCs/>
          <w:highlight w:val="yellow"/>
          <w:lang w:val="en-US" w:eastAsia="zh-CN"/>
        </w:rPr>
        <w:t>5000元</w:t>
      </w:r>
      <w:r>
        <w:rPr>
          <w:rFonts w:hint="eastAsia" w:hAnsi="宋体"/>
          <w:bCs/>
          <w:highlight w:val="none"/>
        </w:rPr>
        <w:t>，成交后转为履约保证金。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000000"/>
          <w:szCs w:val="21"/>
          <w:highlight w:val="none"/>
          <w:lang w:val="en-US" w:eastAsia="zh-CN"/>
        </w:rPr>
        <w:t>本工</w:t>
      </w:r>
      <w:r>
        <w:rPr>
          <w:rFonts w:hint="eastAsia" w:ascii="宋体" w:hAnsi="宋体"/>
          <w:color w:val="auto"/>
          <w:szCs w:val="21"/>
          <w:highlight w:val="none"/>
          <w:lang w:val="en-US" w:eastAsia="zh-CN"/>
        </w:rPr>
        <w:t>程暂</w:t>
      </w:r>
      <w:r>
        <w:rPr>
          <w:rFonts w:hint="eastAsia" w:ascii="宋体" w:hAnsi="宋体"/>
          <w:color w:val="auto"/>
          <w:szCs w:val="21"/>
          <w:highlight w:val="yellow"/>
          <w:lang w:val="en-US" w:eastAsia="zh-CN"/>
        </w:rPr>
        <w:t>列金10000元</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，开工前提供付款凭证给校方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项目验收前支付</w:t>
      </w:r>
      <w:r>
        <w:rPr>
          <w:rFonts w:hint="eastAsia" w:ascii="宋体" w:hAnsi="宋体"/>
          <w:color w:val="auto"/>
          <w:szCs w:val="21"/>
          <w:highlight w:val="none"/>
        </w:rPr>
        <w:t>过程质量督查</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项目资料审查费用；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咨询费不得让利。咨询服务费中以费率计费的基数按控制价累进制方法计入，中标单位支付咨询费时计算基数为中标金额，项目结算时该项以中标金额为基数作调整。</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四</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主要材料</w:t>
      </w:r>
      <w:r>
        <w:rPr>
          <w:rFonts w:hint="eastAsia" w:hAnsi="宋体"/>
          <w:bCs/>
          <w:color w:val="auto"/>
          <w:szCs w:val="22"/>
          <w:highlight w:val="none"/>
          <w:lang w:eastAsia="zh-CN"/>
        </w:rPr>
        <w:t>推荐</w:t>
      </w:r>
      <w:r>
        <w:rPr>
          <w:rFonts w:hint="eastAsia" w:hAnsi="宋体"/>
          <w:bCs/>
          <w:color w:val="auto"/>
          <w:szCs w:val="22"/>
          <w:highlight w:val="none"/>
        </w:rPr>
        <w:t>品牌及样品提供要求：</w:t>
      </w:r>
    </w:p>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000000"/>
          <w:szCs w:val="21"/>
          <w:highlight w:val="none"/>
          <w:lang w:val="en-US" w:eastAsia="zh-CN"/>
        </w:rPr>
      </w:pPr>
      <w:r>
        <w:rPr>
          <w:rFonts w:hint="eastAsia" w:hAnsi="宋体"/>
          <w:bCs/>
          <w:color w:val="auto"/>
          <w:szCs w:val="22"/>
          <w:highlight w:val="none"/>
        </w:rPr>
        <w:t>1</w:t>
      </w:r>
      <w:r>
        <w:rPr>
          <w:rFonts w:hint="eastAsia" w:hAnsi="宋体"/>
          <w:bCs/>
          <w:color w:val="auto"/>
          <w:szCs w:val="22"/>
          <w:highlight w:val="none"/>
          <w:lang w:eastAsia="zh-CN"/>
        </w:rPr>
        <w:t>、</w:t>
      </w:r>
      <w:r>
        <w:rPr>
          <w:rFonts w:hint="eastAsia" w:ascii="宋体" w:hAnsi="宋体"/>
          <w:color w:val="000000"/>
          <w:szCs w:val="21"/>
          <w:highlight w:val="none"/>
          <w:lang w:val="en-US" w:eastAsia="zh-CN"/>
        </w:rPr>
        <w:t>乳胶漆品牌：立邦、多乐士、三棵树等同档次或高于此档次产品。</w:t>
      </w:r>
    </w:p>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000000"/>
          <w:szCs w:val="21"/>
          <w:highlight w:val="none"/>
          <w:lang w:val="en-US" w:eastAsia="zh-CN"/>
        </w:rPr>
      </w:pPr>
      <w:r>
        <w:rPr>
          <w:rFonts w:hint="eastAsia" w:ascii="宋体" w:hAnsi="宋体"/>
          <w:color w:val="000000"/>
          <w:szCs w:val="21"/>
          <w:highlight w:val="none"/>
          <w:lang w:val="en-US" w:eastAsia="zh-CN"/>
        </w:rPr>
        <w:t>2、灯具品牌：雷士、欧普、飞利浦等同档次或高于此档次产品。</w:t>
      </w:r>
    </w:p>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auto"/>
          <w:szCs w:val="21"/>
          <w:highlight w:val="none"/>
          <w:lang w:eastAsia="zh-CN"/>
        </w:rPr>
      </w:pPr>
      <w:r>
        <w:rPr>
          <w:rFonts w:hint="eastAsia" w:ascii="宋体" w:hAnsi="宋体"/>
          <w:color w:val="000000"/>
          <w:szCs w:val="21"/>
          <w:highlight w:val="none"/>
          <w:lang w:val="en-US" w:eastAsia="zh-CN"/>
        </w:rPr>
        <w:t>3、</w:t>
      </w:r>
      <w:r>
        <w:rPr>
          <w:rFonts w:hint="eastAsia" w:ascii="宋体" w:hAnsi="宋体"/>
          <w:color w:val="000000"/>
          <w:szCs w:val="21"/>
          <w:highlight w:val="none"/>
        </w:rPr>
        <w:t>其他主材需要经</w:t>
      </w:r>
      <w:r>
        <w:rPr>
          <w:rFonts w:hint="eastAsia" w:ascii="宋体" w:hAnsi="宋体"/>
          <w:color w:val="auto"/>
          <w:szCs w:val="21"/>
          <w:highlight w:val="none"/>
        </w:rPr>
        <w:t>过</w:t>
      </w:r>
      <w:r>
        <w:rPr>
          <w:rFonts w:hint="eastAsia" w:ascii="宋体" w:hAnsi="宋体"/>
          <w:color w:val="auto"/>
          <w:szCs w:val="21"/>
          <w:highlight w:val="none"/>
          <w:lang w:eastAsia="zh-CN"/>
        </w:rPr>
        <w:t>校方</w:t>
      </w:r>
      <w:r>
        <w:rPr>
          <w:rFonts w:hint="eastAsia" w:ascii="宋体" w:hAnsi="宋体"/>
          <w:color w:val="auto"/>
          <w:szCs w:val="21"/>
          <w:highlight w:val="none"/>
        </w:rPr>
        <w:t>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yellow"/>
          <w:lang w:val="en-US" w:eastAsia="zh-CN"/>
        </w:rPr>
        <w:t>15</w:t>
      </w:r>
      <w:r>
        <w:rPr>
          <w:rFonts w:hint="eastAsia" w:hAnsi="宋体"/>
          <w:bCs/>
          <w:color w:val="auto"/>
          <w:highlight w:val="yellow"/>
        </w:rPr>
        <w:t>日历</w:t>
      </w:r>
      <w:r>
        <w:rPr>
          <w:rFonts w:hint="eastAsia" w:hAnsi="宋体"/>
          <w:bCs/>
          <w:color w:val="auto"/>
          <w:highlight w:val="yellow"/>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六</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合同价格形式为单价合同</w:t>
      </w:r>
      <w:r>
        <w:rPr>
          <w:rFonts w:hint="eastAsia" w:hAnsi="宋体"/>
          <w:bCs/>
          <w:highlight w:val="none"/>
        </w:rPr>
        <w:t>，包含人工、材料、机械、运输费、安装、竣工资料、垃圾清运、质保期内的保修服务费、保险、管理费、利润、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竣工并通过验收，付至合同价的 60%；审计完毕付至审核结算价（全额发票）的 97%；质保期满后无质量缺陷将 3%质保金一次性免息支付</w:t>
      </w:r>
      <w:r>
        <w:rPr>
          <w:rFonts w:hint="eastAsia" w:hAnsi="宋体"/>
          <w:bCs/>
          <w:highlight w:val="none"/>
        </w:rPr>
        <w:t>。</w:t>
      </w:r>
    </w:p>
    <w:p>
      <w:pPr>
        <w:widowControl/>
        <w:ind w:firstLine="420" w:firstLineChars="200"/>
        <w:rPr>
          <w:rFonts w:hAnsi="宋体"/>
          <w:bCs/>
          <w:highlight w:val="none"/>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31574"/>
      <w:bookmarkStart w:id="70" w:name="_Toc27008"/>
      <w:bookmarkStart w:id="71" w:name="_Toc25132"/>
      <w:bookmarkStart w:id="72" w:name="_Toc743"/>
      <w:bookmarkStart w:id="73" w:name="_Toc26593"/>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49090576"/>
      <w:bookmarkStart w:id="76" w:name="_Toc120614282"/>
      <w:bookmarkStart w:id="77"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行健馆</w:t>
      </w:r>
      <w:r>
        <w:rPr>
          <w:rFonts w:hint="eastAsia" w:ascii="楷体" w:hAnsi="楷体" w:eastAsia="楷体" w:cs="楷体"/>
          <w:b/>
          <w:bCs/>
          <w:sz w:val="32"/>
          <w:szCs w:val="36"/>
          <w:lang w:val="en-US" w:eastAsia="zh-CN"/>
        </w:rPr>
        <w:t>226室报告厅</w:t>
      </w:r>
      <w:r>
        <w:rPr>
          <w:rFonts w:hint="eastAsia" w:ascii="楷体" w:hAnsi="楷体" w:eastAsia="楷体" w:cs="楷体"/>
          <w:b/>
          <w:bCs/>
          <w:sz w:val="32"/>
          <w:szCs w:val="36"/>
          <w:lang w:eastAsia="zh-CN"/>
        </w:rPr>
        <w:t>改造工程</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w:t>
      </w:r>
      <w:r>
        <w:rPr>
          <w:rFonts w:hint="eastAsia" w:ascii="楷体" w:hAnsi="楷体" w:eastAsia="楷体" w:cs="楷体"/>
          <w:b/>
          <w:bCs/>
          <w:sz w:val="32"/>
          <w:szCs w:val="36"/>
          <w:lang w:val="en-US" w:eastAsia="zh-CN"/>
        </w:rPr>
        <w:t>144</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769"/>
      <w:bookmarkStart w:id="82" w:name="_Toc25957"/>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b w:val="0"/>
          <w:bCs w:val="0"/>
          <w:sz w:val="24"/>
          <w:szCs w:val="24"/>
        </w:rPr>
        <w:t>南京交通职业技术学院</w:t>
      </w:r>
      <w:r>
        <w:rPr>
          <w:rFonts w:hint="eastAsia" w:ascii="楷体" w:hAnsi="楷体" w:eastAsia="楷体" w:cs="楷体"/>
          <w:b w:val="0"/>
          <w:bCs w:val="0"/>
          <w:sz w:val="24"/>
          <w:szCs w:val="24"/>
          <w:lang w:eastAsia="zh-CN"/>
        </w:rPr>
        <w:t>行健馆</w:t>
      </w:r>
      <w:r>
        <w:rPr>
          <w:rFonts w:hint="eastAsia" w:ascii="楷体" w:hAnsi="楷体" w:eastAsia="楷体" w:cs="楷体"/>
          <w:b w:val="0"/>
          <w:bCs w:val="0"/>
          <w:sz w:val="24"/>
          <w:szCs w:val="24"/>
          <w:lang w:val="en-US" w:eastAsia="zh-CN"/>
        </w:rPr>
        <w:t>226室报告厅改造</w:t>
      </w:r>
      <w:r>
        <w:rPr>
          <w:rFonts w:hint="eastAsia" w:ascii="楷体" w:hAnsi="楷体" w:eastAsia="楷体" w:cs="楷体"/>
          <w:b w:val="0"/>
          <w:bCs w:val="0"/>
          <w:sz w:val="24"/>
          <w:szCs w:val="24"/>
          <w:lang w:eastAsia="zh-CN"/>
        </w:rPr>
        <w:t>工程采购项目</w:t>
      </w:r>
      <w:r>
        <w:rPr>
          <w:rFonts w:hint="eastAsia" w:ascii="楷体" w:hAnsi="楷体" w:eastAsia="楷体" w:cs="楷体"/>
          <w:b w:val="0"/>
          <w:bCs w:val="0"/>
          <w:sz w:val="24"/>
          <w:szCs w:val="24"/>
        </w:rPr>
        <w:t>（采购编号为：</w:t>
      </w:r>
      <w:r>
        <w:rPr>
          <w:rFonts w:hint="eastAsia" w:ascii="楷体" w:hAnsi="楷体" w:eastAsia="楷体" w:cs="楷体"/>
          <w:b w:val="0"/>
          <w:bCs w:val="0"/>
          <w:sz w:val="24"/>
          <w:szCs w:val="24"/>
          <w:lang w:eastAsia="zh-CN"/>
        </w:rPr>
        <w:t>JY2021</w:t>
      </w:r>
      <w:r>
        <w:rPr>
          <w:rFonts w:hint="eastAsia" w:ascii="楷体" w:hAnsi="楷体" w:eastAsia="楷体" w:cs="楷体"/>
          <w:b w:val="0"/>
          <w:bCs w:val="0"/>
          <w:sz w:val="24"/>
          <w:szCs w:val="24"/>
          <w:lang w:val="en-US" w:eastAsia="zh-CN"/>
        </w:rPr>
        <w:t>144</w:t>
      </w:r>
      <w:r>
        <w:rPr>
          <w:rFonts w:hint="eastAsia" w:ascii="楷体" w:hAnsi="楷体" w:eastAsia="楷体" w:cs="楷体"/>
          <w:b w:val="0"/>
          <w:bCs w:val="0"/>
          <w:sz w:val="24"/>
          <w:szCs w:val="24"/>
        </w:rPr>
        <w:t>）</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7417"/>
      <w:bookmarkStart w:id="84" w:name="_Toc223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10933"/>
      <w:bookmarkStart w:id="86" w:name="_Toc4264"/>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燃行健馆</w:t>
            </w:r>
            <w:r>
              <w:rPr>
                <w:rFonts w:hint="eastAsia" w:ascii="楷体" w:hAnsi="楷体" w:eastAsia="楷体" w:cs="楷体"/>
                <w:b/>
                <w:bCs/>
                <w:sz w:val="24"/>
                <w:szCs w:val="24"/>
                <w:lang w:val="en-US" w:eastAsia="zh-CN"/>
              </w:rPr>
              <w:t>226室报告厅改造</w:t>
            </w:r>
            <w:r>
              <w:rPr>
                <w:rFonts w:hint="eastAsia" w:ascii="楷体" w:hAnsi="楷体" w:eastAsia="楷体" w:cs="楷体"/>
                <w:b/>
                <w:bCs/>
                <w:sz w:val="24"/>
                <w:szCs w:val="24"/>
                <w:lang w:eastAsia="zh-CN"/>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w:t>
            </w:r>
            <w:r>
              <w:rPr>
                <w:rFonts w:hint="eastAsia" w:ascii="楷体" w:hAnsi="楷体" w:eastAsia="楷体" w:cs="楷体"/>
                <w:b/>
                <w:bCs/>
                <w:sz w:val="24"/>
                <w:szCs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5613"/>
      <w:bookmarkStart w:id="89" w:name="_Toc818"/>
      <w:bookmarkStart w:id="90"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8031"/>
      <w:bookmarkStart w:id="93" w:name="_Toc32133"/>
      <w:bookmarkStart w:id="94" w:name="_Toc1752"/>
      <w:bookmarkStart w:id="95" w:name="_Toc690"/>
      <w:bookmarkStart w:id="96" w:name="_Toc16074"/>
      <w:bookmarkStart w:id="97" w:name="_Toc448482858"/>
      <w:bookmarkStart w:id="98" w:name="_Toc365968485"/>
      <w:bookmarkStart w:id="99" w:name="_Toc351733250"/>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15328"/>
      <w:bookmarkStart w:id="101" w:name="_Toc27516"/>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5890"/>
      <w:bookmarkStart w:id="106" w:name="_Toc407"/>
      <w:bookmarkStart w:id="107" w:name="_Toc25699"/>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w:t>
      </w:r>
      <w:r>
        <w:rPr>
          <w:rFonts w:hint="eastAsia" w:ascii="宋体" w:hAnsi="宋体" w:cs="宋体"/>
          <w:color w:val="000000"/>
          <w:kern w:val="0"/>
          <w:sz w:val="24"/>
          <w:lang w:val="en-US" w:eastAsia="zh-CN"/>
        </w:rPr>
        <w:t>1</w:t>
      </w: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竣工并通过验收，付至合同价的60%；审计完毕付至审核结算价（全额发票）</w:t>
      </w:r>
      <w:r>
        <w:rPr>
          <w:rFonts w:hint="eastAsia" w:ascii="宋体" w:hAnsi="宋体" w:cs="宋体"/>
          <w:color w:val="000000"/>
          <w:kern w:val="0"/>
          <w:sz w:val="24"/>
          <w:highlight w:val="yellow"/>
        </w:rPr>
        <w:t>的9</w:t>
      </w:r>
      <w:r>
        <w:rPr>
          <w:rFonts w:hint="eastAsia" w:ascii="宋体" w:hAnsi="宋体" w:cs="宋体"/>
          <w:color w:val="000000"/>
          <w:kern w:val="0"/>
          <w:sz w:val="24"/>
          <w:highlight w:val="yellow"/>
          <w:lang w:val="en-US" w:eastAsia="zh-CN"/>
        </w:rPr>
        <w:t>7</w:t>
      </w:r>
      <w:r>
        <w:rPr>
          <w:rFonts w:hint="eastAsia" w:ascii="宋体" w:hAnsi="宋体" w:cs="宋体"/>
          <w:color w:val="000000"/>
          <w:kern w:val="0"/>
          <w:sz w:val="24"/>
          <w:highlight w:val="yellow"/>
        </w:rPr>
        <w:t>%；质保期满后无质量缺陷将</w:t>
      </w:r>
      <w:r>
        <w:rPr>
          <w:rFonts w:hint="eastAsia" w:ascii="宋体" w:hAnsi="宋体" w:cs="宋体"/>
          <w:color w:val="000000"/>
          <w:kern w:val="0"/>
          <w:sz w:val="24"/>
          <w:highlight w:val="yellow"/>
          <w:lang w:val="en-US" w:eastAsia="zh-CN"/>
        </w:rPr>
        <w:t>3</w:t>
      </w:r>
      <w:r>
        <w:rPr>
          <w:rFonts w:hint="eastAsia" w:ascii="宋体" w:hAnsi="宋体" w:cs="宋体"/>
          <w:color w:val="000000"/>
          <w:kern w:val="0"/>
          <w:sz w:val="24"/>
          <w:highlight w:val="yellow"/>
        </w:rPr>
        <w:t>%尾款一次性免息支付</w:t>
      </w:r>
      <w:r>
        <w:rPr>
          <w:rFonts w:hint="eastAsia" w:ascii="宋体" w:hAnsi="宋体" w:cs="宋体"/>
          <w:color w:val="000000"/>
          <w:kern w:val="0"/>
          <w:sz w:val="24"/>
        </w:rPr>
        <w:t>。</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 xml:space="preserve">工程竣工验收合格后15天内向甲提供竣工图。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w:t>
      </w:r>
      <w:r>
        <w:rPr>
          <w:rFonts w:hint="eastAsia" w:ascii="宋体" w:hAnsi="宋体" w:cs="宋体"/>
          <w:kern w:val="0"/>
          <w:sz w:val="24"/>
          <w:szCs w:val="22"/>
          <w:highlight w:val="yellow"/>
          <w:u w:val="single"/>
        </w:rPr>
        <w:t>捌份，甲方</w:t>
      </w:r>
      <w:r>
        <w:rPr>
          <w:rFonts w:hint="eastAsia" w:ascii="宋体" w:hAnsi="宋体" w:cs="宋体"/>
          <w:kern w:val="0"/>
          <w:sz w:val="24"/>
          <w:szCs w:val="22"/>
          <w:highlight w:val="yellow"/>
          <w:u w:val="single"/>
          <w:lang w:val="en-US" w:eastAsia="zh-CN"/>
        </w:rPr>
        <w:t>陆</w:t>
      </w:r>
      <w:r>
        <w:rPr>
          <w:rFonts w:hint="eastAsia" w:ascii="宋体" w:hAnsi="宋体" w:cs="宋体"/>
          <w:kern w:val="0"/>
          <w:sz w:val="24"/>
          <w:szCs w:val="22"/>
          <w:highlight w:val="yellow"/>
          <w:u w:val="single"/>
        </w:rPr>
        <w:t>份，乙方</w:t>
      </w:r>
      <w:r>
        <w:rPr>
          <w:rFonts w:hint="eastAsia" w:ascii="宋体" w:hAnsi="宋体" w:cs="宋体"/>
          <w:kern w:val="0"/>
          <w:sz w:val="24"/>
          <w:szCs w:val="22"/>
          <w:highlight w:val="yellow"/>
          <w:u w:val="single"/>
          <w:lang w:val="en-US" w:eastAsia="zh-CN"/>
        </w:rPr>
        <w:t>贰</w:t>
      </w:r>
      <w:r>
        <w:rPr>
          <w:rFonts w:hint="eastAsia" w:ascii="宋体" w:hAnsi="宋体" w:cs="宋体"/>
          <w:kern w:val="0"/>
          <w:sz w:val="24"/>
          <w:szCs w:val="22"/>
          <w:highlight w:val="yellow"/>
          <w:u w:val="single"/>
        </w:rPr>
        <w:t>份＿</w:t>
      </w:r>
      <w:r>
        <w:rPr>
          <w:rFonts w:hint="eastAsia" w:ascii="宋体" w:hAnsi="宋体" w:cs="宋体"/>
          <w:kern w:val="0"/>
          <w:sz w:val="24"/>
          <w:szCs w:val="22"/>
          <w:u w:val="single"/>
        </w:rPr>
        <w:t>＿＿</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rPr>
          <w:rFonts w:hint="eastAsia" w:eastAsia="宋体"/>
          <w:lang w:eastAsia="zh-CN"/>
        </w:rPr>
      </w:pPr>
      <w:r>
        <w:rPr>
          <w:rFonts w:hint="eastAsia"/>
        </w:rPr>
        <w:t>6、高校建设项目结算审计，应按下列规定支付审计费用：</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（一）核减率〔（送审金额-结算审定金额）/送审金额*100%〕大于5%的建设工程项目，审计费由施工单位全额承担；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（二）核减率小于5%（含）的建设工程项目，审计费由学校全额承担；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（三）同一施工单位发生单项工程核减率超过15%的次数达到2次的，将列入学校施工供应单位黑名单，不得再参与学校其他工程项目建设。</w:t>
      </w:r>
    </w:p>
    <w:p>
      <w:pPr>
        <w:pStyle w:val="20"/>
        <w:spacing w:before="156" w:beforeLines="50" w:beforeAutospacing="0" w:after="156" w:afterLines="50" w:afterAutospacing="0" w:line="400" w:lineRule="exact"/>
        <w:ind w:firstLine="480" w:firstLineChars="200"/>
        <w:rPr>
          <w:rFonts w:hint="eastAsia" w:eastAsia="宋体"/>
          <w:lang w:eastAsia="zh-CN"/>
        </w:rPr>
      </w:pPr>
      <w:r>
        <w:rPr>
          <w:rFonts w:hint="eastAsia"/>
          <w:highlight w:val="yellow"/>
        </w:rPr>
        <w:t>核减率按审计最终核定额与施工单位申报的结算额之间的差额计算。</w:t>
      </w:r>
    </w:p>
    <w:p>
      <w:pPr>
        <w:pStyle w:val="20"/>
        <w:spacing w:before="156" w:beforeLines="50" w:beforeAutospacing="0" w:after="156" w:afterLines="50" w:afterAutospacing="0" w:line="400" w:lineRule="exact"/>
        <w:ind w:firstLine="480" w:firstLineChars="200"/>
      </w:pPr>
      <w:r>
        <w:rPr>
          <w:rFonts w:hint="eastAsia"/>
        </w:rPr>
        <w:t xml:space="preserve">    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28734"/>
      <w:bookmarkStart w:id="113" w:name="_Toc28944"/>
      <w:bookmarkStart w:id="114" w:name="_Toc13019"/>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w:t>
      </w:r>
      <w:r>
        <w:rPr>
          <w:rFonts w:hint="eastAsia" w:ascii="楷体" w:hAnsi="楷体" w:eastAsia="楷体" w:cs="楷体"/>
          <w:b/>
          <w:bCs/>
          <w:sz w:val="24"/>
          <w:szCs w:val="24"/>
          <w:lang w:val="en-US" w:eastAsia="zh-CN"/>
        </w:rPr>
        <w:t>144</w:t>
      </w:r>
      <w:r>
        <w:rPr>
          <w:rFonts w:hint="eastAsia" w:ascii="楷体" w:hAnsi="楷体" w:eastAsia="楷体" w:cs="楷体"/>
          <w:sz w:val="24"/>
          <w:szCs w:val="24"/>
        </w:rPr>
        <w:t>）南京交通职业技术学院</w:t>
      </w:r>
      <w:r>
        <w:rPr>
          <w:rFonts w:hint="eastAsia" w:ascii="楷体" w:hAnsi="楷体" w:eastAsia="楷体" w:cs="楷体"/>
          <w:b w:val="0"/>
          <w:bCs w:val="0"/>
          <w:sz w:val="24"/>
          <w:szCs w:val="24"/>
          <w:lang w:eastAsia="zh-CN"/>
        </w:rPr>
        <w:t>行健馆</w:t>
      </w:r>
      <w:r>
        <w:rPr>
          <w:rFonts w:hint="eastAsia" w:ascii="楷体" w:hAnsi="楷体" w:eastAsia="楷体" w:cs="楷体"/>
          <w:b w:val="0"/>
          <w:bCs w:val="0"/>
          <w:sz w:val="24"/>
          <w:szCs w:val="24"/>
          <w:lang w:val="en-US" w:eastAsia="zh-CN"/>
        </w:rPr>
        <w:t>226室报告厅改造</w:t>
      </w:r>
      <w:r>
        <w:rPr>
          <w:rFonts w:hint="eastAsia" w:ascii="楷体" w:hAnsi="楷体" w:eastAsia="楷体" w:cs="楷体"/>
          <w:b w:val="0"/>
          <w:bCs w:val="0"/>
          <w:sz w:val="24"/>
          <w:szCs w:val="24"/>
          <w:lang w:eastAsia="zh-CN"/>
        </w:rPr>
        <w:t>工程</w:t>
      </w:r>
      <w:r>
        <w:rPr>
          <w:rFonts w:hint="eastAsia" w:ascii="楷体" w:hAnsi="楷体" w:eastAsia="楷体" w:cs="楷体"/>
          <w:b/>
          <w:bCs/>
          <w:sz w:val="24"/>
          <w:szCs w:val="24"/>
          <w:lang w:eastAsia="zh-CN"/>
        </w:rPr>
        <w:t>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252"/>
      <w:bookmarkStart w:id="117" w:name="_Toc27307"/>
      <w:bookmarkStart w:id="118" w:name="_Toc9521"/>
      <w:bookmarkStart w:id="119" w:name="_Toc9284"/>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90"/>
      <w:bookmarkStart w:id="122" w:name="_Toc18188"/>
      <w:bookmarkStart w:id="123" w:name="_Toc26453"/>
      <w:bookmarkStart w:id="124" w:name="_Toc8873"/>
      <w:bookmarkStart w:id="125" w:name="_Toc10944"/>
      <w:bookmarkStart w:id="126" w:name="_Toc30482"/>
      <w:bookmarkStart w:id="127" w:name="_Toc28753"/>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26218"/>
      <w:bookmarkStart w:id="129" w:name="_Toc4338"/>
      <w:bookmarkStart w:id="130" w:name="_Toc12129"/>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10887"/>
      <w:bookmarkStart w:id="134" w:name="_Toc31660"/>
      <w:bookmarkStart w:id="135" w:name="_Toc30780"/>
      <w:bookmarkStart w:id="136" w:name="_Toc11048"/>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w:t>
    </w:r>
    <w:r>
      <w:rPr>
        <w:rFonts w:hint="eastAsia"/>
        <w:lang w:val="en-US" w:eastAsia="zh-CN"/>
      </w:rPr>
      <w:t>144</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15654"/>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318C8"/>
    <w:rsid w:val="1687716E"/>
    <w:rsid w:val="169B3BE0"/>
    <w:rsid w:val="16B52472"/>
    <w:rsid w:val="16C23B99"/>
    <w:rsid w:val="16D37C71"/>
    <w:rsid w:val="16E04D7B"/>
    <w:rsid w:val="16E64F85"/>
    <w:rsid w:val="17111ED0"/>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272C84"/>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4545A"/>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911ED8"/>
    <w:rsid w:val="3CAF528D"/>
    <w:rsid w:val="3CB52A2C"/>
    <w:rsid w:val="3CC02F5B"/>
    <w:rsid w:val="3CE71B70"/>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1F27961"/>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930221"/>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42102"/>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56BC"/>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16</TotalTime>
  <ScaleCrop>false</ScaleCrop>
  <LinksUpToDate>false</LinksUpToDate>
  <CharactersWithSpaces>20006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2021-11-01T08:46:13Z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SaveFontToCloudKey">
    <vt:lpwstr>8068780_cloud</vt:lpwstr>
  </property>
  <property fmtid="{D5CDD505-2E9C-101B-9397-08002B2CF9AE}" pid="4" name="ICV">
    <vt:lpwstr>54B62DDAC8FC43549A48A2C3A298111E</vt:lpwstr>
  </property>
</Properties>
</file>