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3"/>
        <w:ind w:firstLine="0" w:firstLineChars="0"/>
        <w:rPr>
          <w:rFonts w:eastAsia="黑体"/>
          <w:b/>
          <w:bCs/>
          <w:sz w:val="84"/>
        </w:rPr>
      </w:pPr>
    </w:p>
    <w:p>
      <w:pPr>
        <w:pStyle w:val="83"/>
        <w:ind w:firstLine="0" w:firstLineChars="0"/>
        <w:jc w:val="center"/>
        <w:rPr>
          <w:rFonts w:ascii="楷体" w:hAnsi="楷体" w:eastAsia="楷体" w:cs="楷体"/>
          <w:b/>
          <w:bCs/>
          <w:sz w:val="84"/>
        </w:rPr>
      </w:pPr>
      <w:r>
        <w:rPr>
          <w:rFonts w:hint="eastAsia" w:ascii="楷体" w:hAnsi="楷体" w:eastAsia="楷体" w:cs="楷体"/>
          <w:b/>
          <w:bCs/>
          <w:sz w:val="84"/>
        </w:rPr>
        <w:t>竞争性磋商文件</w:t>
      </w:r>
    </w:p>
    <w:p>
      <w:pPr>
        <w:pStyle w:val="83"/>
        <w:ind w:firstLine="0" w:firstLineChars="0"/>
        <w:jc w:val="both"/>
        <w:rPr>
          <w:rFonts w:hint="eastAsia" w:ascii="楷体" w:hAnsi="楷体" w:eastAsia="楷体" w:cs="楷体"/>
          <w:b/>
          <w:bCs/>
          <w:sz w:val="36"/>
          <w:szCs w:val="36"/>
        </w:rPr>
      </w:pPr>
    </w:p>
    <w:p>
      <w:pPr>
        <w:pStyle w:val="83"/>
        <w:ind w:firstLine="0" w:firstLineChars="0"/>
        <w:jc w:val="both"/>
        <w:rPr>
          <w:rFonts w:hint="eastAsia" w:ascii="楷体" w:hAnsi="楷体" w:eastAsia="楷体" w:cs="楷体"/>
          <w:b/>
          <w:bCs/>
          <w:sz w:val="36"/>
          <w:szCs w:val="36"/>
        </w:rPr>
      </w:pPr>
    </w:p>
    <w:p>
      <w:pPr>
        <w:spacing w:line="640" w:lineRule="exact"/>
        <w:jc w:val="both"/>
        <w:rPr>
          <w:rFonts w:hint="eastAsia" w:ascii="楷体" w:hAnsi="楷体" w:eastAsia="楷体" w:cs="楷体"/>
          <w:b/>
          <w:bCs/>
          <w:sz w:val="40"/>
          <w:szCs w:val="40"/>
          <w:lang w:val="en-US" w:eastAsia="zh-CN"/>
        </w:rPr>
      </w:pPr>
      <w:r>
        <w:rPr>
          <w:rFonts w:hint="eastAsia" w:ascii="楷体" w:hAnsi="楷体" w:eastAsia="楷体" w:cs="楷体"/>
          <w:b/>
          <w:bCs/>
          <w:sz w:val="40"/>
          <w:szCs w:val="40"/>
          <w:lang w:val="en-US" w:eastAsia="zh-CN"/>
        </w:rPr>
        <w:t>项目名称：南京交通职业技术学院</w:t>
      </w:r>
      <w:r>
        <w:rPr>
          <w:rFonts w:hint="default" w:ascii="楷体" w:hAnsi="楷体" w:eastAsia="楷体" w:cs="楷体"/>
          <w:b/>
          <w:bCs/>
          <w:sz w:val="40"/>
          <w:szCs w:val="40"/>
          <w:lang w:val="en-US" w:eastAsia="zh-CN"/>
        </w:rPr>
        <w:t>行健馆226室报告厅改造</w:t>
      </w:r>
      <w:r>
        <w:rPr>
          <w:rFonts w:hint="eastAsia" w:ascii="楷体" w:hAnsi="楷体" w:eastAsia="楷体" w:cs="楷体"/>
          <w:b/>
          <w:bCs/>
          <w:sz w:val="40"/>
          <w:szCs w:val="40"/>
          <w:lang w:val="en-US" w:eastAsia="zh-CN"/>
        </w:rPr>
        <w:t>工程采购项目</w:t>
      </w:r>
    </w:p>
    <w:p>
      <w:pPr>
        <w:spacing w:after="156" w:afterLines="50" w:line="640" w:lineRule="exact"/>
        <w:jc w:val="center"/>
        <w:rPr>
          <w:rFonts w:hint="eastAsia" w:ascii="楷体" w:hAnsi="楷体" w:eastAsia="楷体" w:cs="楷体"/>
          <w:b/>
          <w:bCs/>
          <w:sz w:val="40"/>
          <w:szCs w:val="40"/>
        </w:rPr>
      </w:pPr>
    </w:p>
    <w:p>
      <w:pPr>
        <w:spacing w:line="640" w:lineRule="exact"/>
        <w:jc w:val="both"/>
        <w:rPr>
          <w:rFonts w:hint="default" w:ascii="楷体" w:hAnsi="楷体" w:eastAsia="楷体" w:cs="楷体"/>
          <w:b/>
          <w:bCs/>
          <w:sz w:val="40"/>
          <w:szCs w:val="40"/>
          <w:lang w:val="en-US" w:eastAsia="zh-CN"/>
        </w:rPr>
      </w:pPr>
      <w:r>
        <w:rPr>
          <w:rFonts w:hint="eastAsia" w:ascii="楷体" w:hAnsi="楷体" w:eastAsia="楷体" w:cs="楷体"/>
          <w:b/>
          <w:bCs/>
          <w:sz w:val="40"/>
          <w:szCs w:val="40"/>
        </w:rPr>
        <w:t>项目编号：</w:t>
      </w:r>
      <w:r>
        <w:rPr>
          <w:rFonts w:hint="eastAsia" w:ascii="楷体" w:hAnsi="楷体" w:eastAsia="楷体" w:cs="楷体"/>
          <w:b/>
          <w:bCs/>
          <w:sz w:val="40"/>
          <w:szCs w:val="40"/>
          <w:lang w:eastAsia="zh-CN"/>
        </w:rPr>
        <w:t>JY2021</w:t>
      </w:r>
      <w:r>
        <w:rPr>
          <w:rFonts w:hint="eastAsia" w:ascii="楷体" w:hAnsi="楷体" w:eastAsia="楷体" w:cs="楷体"/>
          <w:b/>
          <w:bCs/>
          <w:sz w:val="40"/>
          <w:szCs w:val="40"/>
          <w:lang w:val="en-US" w:eastAsia="zh-CN"/>
        </w:rPr>
        <w:t>144</w:t>
      </w:r>
    </w:p>
    <w:p>
      <w:pPr>
        <w:pStyle w:val="83"/>
        <w:ind w:firstLine="0" w:firstLineChars="0"/>
        <w:jc w:val="both"/>
        <w:rPr>
          <w:rFonts w:ascii="宋体" w:hAnsi="宋体"/>
          <w:b/>
          <w:bCs/>
          <w:sz w:val="36"/>
          <w:szCs w:val="36"/>
        </w:rPr>
      </w:pPr>
    </w:p>
    <w:p>
      <w:pPr>
        <w:pStyle w:val="83"/>
        <w:ind w:firstLine="723"/>
        <w:jc w:val="both"/>
        <w:rPr>
          <w:rFonts w:ascii="宋体" w:hAnsi="宋体"/>
          <w:b/>
          <w:bCs/>
          <w:sz w:val="36"/>
          <w:szCs w:val="36"/>
        </w:rPr>
      </w:pPr>
    </w:p>
    <w:p>
      <w:pPr>
        <w:pStyle w:val="83"/>
        <w:ind w:firstLine="723"/>
        <w:jc w:val="center"/>
        <w:rPr>
          <w:rFonts w:ascii="宋体" w:hAnsi="宋体"/>
          <w:b/>
          <w:bCs/>
          <w:sz w:val="36"/>
          <w:szCs w:val="36"/>
        </w:rPr>
      </w:pPr>
    </w:p>
    <w:p>
      <w:pPr>
        <w:pStyle w:val="83"/>
        <w:ind w:firstLine="723"/>
        <w:jc w:val="center"/>
        <w:rPr>
          <w:rFonts w:ascii="宋体" w:hAnsi="宋体"/>
          <w:b/>
          <w:bCs/>
          <w:sz w:val="36"/>
          <w:szCs w:val="36"/>
        </w:rPr>
      </w:pPr>
    </w:p>
    <w:p>
      <w:pPr>
        <w:pStyle w:val="83"/>
        <w:ind w:firstLine="723"/>
        <w:jc w:val="center"/>
        <w:rPr>
          <w:rFonts w:ascii="宋体" w:hAnsi="宋体"/>
          <w:b/>
          <w:bCs/>
          <w:sz w:val="36"/>
          <w:szCs w:val="36"/>
        </w:rPr>
      </w:pPr>
    </w:p>
    <w:p>
      <w:pPr>
        <w:pStyle w:val="83"/>
        <w:spacing w:line="500" w:lineRule="exact"/>
        <w:ind w:firstLine="0" w:firstLineChars="0"/>
        <w:jc w:val="center"/>
        <w:rPr>
          <w:rFonts w:hint="eastAsia" w:ascii="楷体" w:hAnsi="楷体" w:eastAsia="楷体" w:cs="楷体"/>
          <w:b/>
          <w:spacing w:val="23"/>
          <w:sz w:val="36"/>
          <w:szCs w:val="36"/>
        </w:rPr>
      </w:pPr>
      <w:r>
        <w:rPr>
          <w:rFonts w:hint="eastAsia" w:ascii="楷体" w:hAnsi="楷体" w:eastAsia="楷体" w:cs="楷体"/>
          <w:b/>
          <w:bCs/>
          <w:spacing w:val="23"/>
          <w:sz w:val="36"/>
          <w:szCs w:val="36"/>
        </w:rPr>
        <w:t>采购人：</w:t>
      </w:r>
      <w:r>
        <w:rPr>
          <w:rFonts w:hint="eastAsia" w:ascii="楷体" w:hAnsi="楷体" w:eastAsia="楷体" w:cs="楷体"/>
          <w:b/>
          <w:bCs/>
          <w:sz w:val="40"/>
          <w:szCs w:val="40"/>
        </w:rPr>
        <w:t>南京交通职业技术学院</w:t>
      </w:r>
    </w:p>
    <w:p>
      <w:pPr>
        <w:pStyle w:val="83"/>
        <w:ind w:firstLine="723"/>
        <w:jc w:val="center"/>
        <w:rPr>
          <w:rFonts w:hint="eastAsia" w:ascii="楷体" w:hAnsi="楷体" w:eastAsia="楷体" w:cs="楷体"/>
          <w:b/>
          <w:bCs/>
          <w:sz w:val="36"/>
          <w:szCs w:val="36"/>
        </w:rPr>
      </w:pPr>
    </w:p>
    <w:p>
      <w:pPr>
        <w:pStyle w:val="83"/>
        <w:ind w:firstLine="0" w:firstLineChars="0"/>
        <w:jc w:val="center"/>
        <w:rPr>
          <w:rFonts w:hint="eastAsia" w:ascii="楷体" w:hAnsi="楷体" w:eastAsia="楷体" w:cs="楷体"/>
          <w:b/>
          <w:bCs/>
          <w:sz w:val="36"/>
          <w:szCs w:val="36"/>
        </w:rPr>
      </w:pPr>
      <w:r>
        <w:rPr>
          <w:rFonts w:hint="eastAsia" w:ascii="楷体" w:hAnsi="楷体" w:eastAsia="楷体" w:cs="楷体"/>
          <w:b/>
          <w:bCs/>
          <w:sz w:val="36"/>
          <w:szCs w:val="36"/>
        </w:rPr>
        <w:t xml:space="preserve">二 〇 二 </w:t>
      </w:r>
      <w:r>
        <w:rPr>
          <w:rFonts w:hint="eastAsia" w:ascii="楷体" w:hAnsi="楷体" w:eastAsia="楷体" w:cs="楷体"/>
          <w:b/>
          <w:bCs/>
          <w:sz w:val="36"/>
          <w:szCs w:val="36"/>
          <w:lang w:val="en-US" w:eastAsia="zh-CN"/>
        </w:rPr>
        <w:t>一</w:t>
      </w:r>
      <w:r>
        <w:rPr>
          <w:rFonts w:hint="eastAsia" w:ascii="楷体" w:hAnsi="楷体" w:eastAsia="楷体" w:cs="楷体"/>
          <w:b/>
          <w:bCs/>
          <w:sz w:val="36"/>
          <w:szCs w:val="36"/>
        </w:rPr>
        <w:t xml:space="preserve"> 年 </w:t>
      </w:r>
      <w:r>
        <w:rPr>
          <w:rFonts w:hint="eastAsia" w:ascii="楷体" w:hAnsi="楷体" w:eastAsia="楷体" w:cs="楷体"/>
          <w:b/>
          <w:bCs/>
          <w:sz w:val="36"/>
          <w:szCs w:val="36"/>
          <w:lang w:eastAsia="zh-CN"/>
        </w:rPr>
        <w:t>十</w:t>
      </w:r>
      <w:r>
        <w:rPr>
          <w:rFonts w:hint="eastAsia" w:ascii="楷体" w:hAnsi="楷体" w:eastAsia="楷体" w:cs="楷体"/>
          <w:b/>
          <w:bCs/>
          <w:sz w:val="36"/>
          <w:szCs w:val="36"/>
        </w:rPr>
        <w:t>月</w:t>
      </w:r>
    </w:p>
    <w:p>
      <w:pPr>
        <w:pStyle w:val="83"/>
        <w:keepNext w:val="0"/>
        <w:keepLines w:val="0"/>
        <w:pageBreakBefore w:val="0"/>
        <w:widowControl w:val="0"/>
        <w:tabs>
          <w:tab w:val="right" w:leader="dot" w:pos="8306"/>
        </w:tabs>
        <w:kinsoku/>
        <w:wordWrap/>
        <w:overflowPunct/>
        <w:topLinePunct w:val="0"/>
        <w:autoSpaceDE/>
        <w:autoSpaceDN/>
        <w:bidi w:val="0"/>
        <w:adjustRightInd w:val="0"/>
        <w:snapToGrid/>
        <w:spacing w:line="240" w:lineRule="auto"/>
        <w:ind w:firstLine="420" w:firstLineChars="0"/>
        <w:jc w:val="center"/>
        <w:textAlignment w:val="auto"/>
        <w:outlineLvl w:val="2"/>
        <w:rPr>
          <w:rFonts w:hint="eastAsia" w:ascii="方正仿宋_GBK" w:hAnsi="方正仿宋_GBK" w:eastAsia="方正仿宋_GBK" w:cs="方正仿宋_GBK"/>
          <w:b/>
          <w:bCs/>
          <w:sz w:val="32"/>
          <w:szCs w:val="32"/>
        </w:rPr>
      </w:pPr>
      <w:r>
        <w:rPr>
          <w:rFonts w:hint="eastAsia" w:ascii="楷体" w:hAnsi="楷体" w:eastAsia="楷体" w:cs="楷体"/>
          <w:kern w:val="2"/>
          <w:sz w:val="21"/>
          <w:szCs w:val="21"/>
        </w:rPr>
        <w:br w:type="page"/>
      </w:r>
      <w:bookmarkStart w:id="0" w:name="_Toc120614210"/>
      <w:bookmarkStart w:id="1" w:name="_Toc16938516"/>
      <w:bookmarkStart w:id="2" w:name="_Toc523127445"/>
      <w:bookmarkStart w:id="3" w:name="_Toc513029200"/>
      <w:bookmarkStart w:id="4" w:name="_Toc20823272"/>
      <w:bookmarkStart w:id="5" w:name="_Toc479757206"/>
      <w:r>
        <w:rPr>
          <w:rFonts w:hint="eastAsia" w:ascii="方正仿宋_GBK" w:hAnsi="方正仿宋_GBK" w:eastAsia="方正仿宋_GBK" w:cs="方正仿宋_GBK"/>
          <w:b/>
          <w:bCs/>
          <w:sz w:val="32"/>
          <w:szCs w:val="32"/>
        </w:rPr>
        <w:t>目    录</w:t>
      </w:r>
    </w:p>
    <w:p>
      <w:pPr>
        <w:pStyle w:val="16"/>
        <w:tabs>
          <w:tab w:val="right" w:leader="dot" w:pos="8306"/>
          <w:tab w:val="clear" w:pos="8720"/>
        </w:tabs>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TOC \o "1-2" \h \u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_Toc25979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第一章  采购邀请</w:t>
      </w:r>
      <w:r>
        <w:tab/>
      </w:r>
      <w:r>
        <w:fldChar w:fldCharType="begin"/>
      </w:r>
      <w:r>
        <w:instrText xml:space="preserve"> PAGEREF _Toc25979 \h </w:instrText>
      </w:r>
      <w:r>
        <w:fldChar w:fldCharType="separate"/>
      </w:r>
      <w:r>
        <w:t>1</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_Toc484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一、采购项目简要说明</w:t>
      </w:r>
      <w:r>
        <w:tab/>
      </w:r>
      <w:r>
        <w:fldChar w:fldCharType="begin"/>
      </w:r>
      <w:r>
        <w:instrText xml:space="preserve"> PAGEREF _Toc484 \h </w:instrText>
      </w:r>
      <w:r>
        <w:fldChar w:fldCharType="separate"/>
      </w:r>
      <w:r>
        <w:t>1</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_Toc22993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二、合格磋商供应商资格要求</w:t>
      </w:r>
      <w:r>
        <w:tab/>
      </w:r>
      <w:r>
        <w:fldChar w:fldCharType="begin"/>
      </w:r>
      <w:r>
        <w:instrText xml:space="preserve"> PAGEREF _Toc22993 \h </w:instrText>
      </w:r>
      <w:r>
        <w:fldChar w:fldCharType="separate"/>
      </w:r>
      <w:r>
        <w:t>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_Toc5888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三、磋商文件发布信息及报名要求</w:t>
      </w:r>
      <w:r>
        <w:tab/>
      </w:r>
      <w:r>
        <w:fldChar w:fldCharType="begin"/>
      </w:r>
      <w:r>
        <w:instrText xml:space="preserve"> PAGEREF _Toc5888 \h </w:instrText>
      </w:r>
      <w:r>
        <w:fldChar w:fldCharType="separate"/>
      </w:r>
      <w:r>
        <w:t>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_Toc27453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四、响应文件</w:t>
      </w:r>
      <w:r>
        <w:tab/>
      </w:r>
      <w:r>
        <w:fldChar w:fldCharType="begin"/>
      </w:r>
      <w:r>
        <w:instrText xml:space="preserve"> PAGEREF _Toc27453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_Toc31510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五、磋商保证金</w:t>
      </w:r>
      <w:r>
        <w:tab/>
      </w:r>
      <w:r>
        <w:fldChar w:fldCharType="begin"/>
      </w:r>
      <w:r>
        <w:instrText xml:space="preserve"> PAGEREF _Toc31510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_Toc22031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六</w:t>
      </w:r>
      <w:r>
        <w:rPr>
          <w:rFonts w:ascii="楷体" w:hAnsi="楷体" w:eastAsia="楷体" w:cs="楷体"/>
          <w:snapToGrid w:val="0"/>
          <w:kern w:val="0"/>
        </w:rPr>
        <w:t>、</w:t>
      </w:r>
      <w:r>
        <w:rPr>
          <w:rFonts w:hint="eastAsia" w:ascii="楷体" w:hAnsi="楷体" w:eastAsia="楷体" w:cs="楷体"/>
          <w:snapToGrid w:val="0"/>
          <w:kern w:val="0"/>
        </w:rPr>
        <w:t>采购人</w:t>
      </w:r>
      <w:r>
        <w:rPr>
          <w:rFonts w:ascii="楷体" w:hAnsi="楷体" w:eastAsia="楷体" w:cs="楷体"/>
          <w:snapToGrid w:val="0"/>
          <w:kern w:val="0"/>
        </w:rPr>
        <w:t>联系方式</w:t>
      </w:r>
      <w:r>
        <w:tab/>
      </w:r>
      <w:r>
        <w:fldChar w:fldCharType="begin"/>
      </w:r>
      <w:r>
        <w:instrText xml:space="preserve"> PAGEREF _Toc22031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_Toc21764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第二章  磋商须知</w:t>
      </w:r>
      <w:r>
        <w:tab/>
      </w:r>
      <w:r>
        <w:fldChar w:fldCharType="begin"/>
      </w:r>
      <w:r>
        <w:instrText xml:space="preserve"> PAGEREF _Toc21764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_Toc23092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一、总则</w:t>
      </w:r>
      <w:r>
        <w:tab/>
      </w:r>
      <w:r>
        <w:fldChar w:fldCharType="begin"/>
      </w:r>
      <w:r>
        <w:instrText xml:space="preserve"> PAGEREF _Toc23092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_Toc28523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二、响应文件编制</w:t>
      </w:r>
      <w:r>
        <w:tab/>
      </w:r>
      <w:r>
        <w:fldChar w:fldCharType="begin"/>
      </w:r>
      <w:r>
        <w:instrText xml:space="preserve"> PAGEREF _Toc28523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_Toc163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三、响应文件签署与提交</w:t>
      </w:r>
      <w:r>
        <w:tab/>
      </w:r>
      <w:r>
        <w:fldChar w:fldCharType="begin"/>
      </w:r>
      <w:r>
        <w:instrText xml:space="preserve"> PAGEREF _Toc163 \h </w:instrText>
      </w:r>
      <w:r>
        <w:fldChar w:fldCharType="separate"/>
      </w:r>
      <w:r>
        <w:t>6</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_Toc23763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四、磋商</w:t>
      </w:r>
      <w:r>
        <w:tab/>
      </w:r>
      <w:r>
        <w:fldChar w:fldCharType="begin"/>
      </w:r>
      <w:r>
        <w:instrText xml:space="preserve"> PAGEREF _Toc23763 \h </w:instrText>
      </w:r>
      <w:r>
        <w:fldChar w:fldCharType="separate"/>
      </w:r>
      <w:r>
        <w:t>7</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_Toc20846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五</w:t>
      </w:r>
      <w:r>
        <w:rPr>
          <w:rFonts w:hint="eastAsia" w:ascii="楷体" w:hAnsi="楷体" w:eastAsia="楷体" w:cs="楷体"/>
          <w:snapToGrid w:val="0"/>
          <w:kern w:val="0"/>
          <w:lang w:val="zh-CN"/>
        </w:rPr>
        <w:t>、询问、质疑、投诉和诚实信用</w:t>
      </w:r>
      <w:r>
        <w:tab/>
      </w:r>
      <w:r>
        <w:fldChar w:fldCharType="begin"/>
      </w:r>
      <w:r>
        <w:instrText xml:space="preserve"> PAGEREF _Toc20846 \h </w:instrText>
      </w:r>
      <w:r>
        <w:fldChar w:fldCharType="separate"/>
      </w:r>
      <w:r>
        <w:t>10</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_Toc28167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第三章  项目需求</w:t>
      </w:r>
      <w:r>
        <w:tab/>
      </w:r>
      <w:r>
        <w:fldChar w:fldCharType="begin"/>
      </w:r>
      <w:r>
        <w:instrText xml:space="preserve"> PAGEREF _Toc28167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_Toc10032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一、</w:t>
      </w:r>
      <w:r>
        <w:rPr>
          <w:rFonts w:hint="eastAsia" w:ascii="楷体" w:hAnsi="楷体" w:eastAsia="楷体" w:cs="楷体"/>
          <w:bCs/>
          <w:lang w:val="zh-CN"/>
        </w:rPr>
        <w:t>委托内容</w:t>
      </w:r>
      <w:r>
        <w:tab/>
      </w:r>
      <w:r>
        <w:fldChar w:fldCharType="begin"/>
      </w:r>
      <w:r>
        <w:instrText xml:space="preserve"> PAGEREF _Toc10032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_Toc5197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二、工期要求</w:t>
      </w:r>
      <w:r>
        <w:tab/>
      </w:r>
      <w:r>
        <w:fldChar w:fldCharType="begin"/>
      </w:r>
      <w:r>
        <w:instrText xml:space="preserve"> PAGEREF _Toc5197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_Toc29405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三、</w:t>
      </w:r>
      <w:r>
        <w:rPr>
          <w:rFonts w:hint="eastAsia" w:ascii="楷体" w:hAnsi="楷体" w:eastAsia="楷体" w:cs="楷体"/>
          <w:snapToGrid w:val="0"/>
          <w:kern w:val="0"/>
          <w:lang w:val="zh-CN" w:eastAsia="zh-CN"/>
        </w:rPr>
        <w:t>投标人要求：</w:t>
      </w:r>
      <w:r>
        <w:tab/>
      </w:r>
      <w:r>
        <w:fldChar w:fldCharType="begin"/>
      </w:r>
      <w:r>
        <w:instrText xml:space="preserve"> PAGEREF _Toc29405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_Toc22117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四、</w:t>
      </w:r>
      <w:r>
        <w:rPr>
          <w:rFonts w:hint="eastAsia" w:ascii="楷体" w:hAnsi="楷体" w:eastAsia="楷体" w:cs="楷体"/>
          <w:snapToGrid w:val="0"/>
          <w:kern w:val="0"/>
          <w:lang w:val="zh-CN" w:eastAsia="zh-CN"/>
        </w:rPr>
        <w:t>合同期限：</w:t>
      </w:r>
      <w:r>
        <w:tab/>
      </w:r>
      <w:r>
        <w:fldChar w:fldCharType="begin"/>
      </w:r>
      <w:r>
        <w:instrText xml:space="preserve"> PAGEREF _Toc22117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_Toc6993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五、</w:t>
      </w:r>
      <w:r>
        <w:rPr>
          <w:rFonts w:hint="eastAsia" w:ascii="楷体" w:hAnsi="楷体" w:eastAsia="楷体" w:cs="楷体"/>
          <w:snapToGrid w:val="0"/>
          <w:kern w:val="0"/>
          <w:lang w:val="zh-CN" w:eastAsia="zh-CN"/>
        </w:rPr>
        <w:t>支付方式：</w:t>
      </w:r>
      <w:r>
        <w:tab/>
      </w:r>
      <w:r>
        <w:fldChar w:fldCharType="begin"/>
      </w:r>
      <w:r>
        <w:instrText xml:space="preserve"> PAGEREF _Toc6993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_Toc30324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六</w:t>
      </w:r>
      <w:r>
        <w:rPr>
          <w:rFonts w:hint="eastAsia" w:ascii="楷体" w:hAnsi="楷体" w:eastAsia="楷体" w:cs="楷体"/>
          <w:snapToGrid w:val="0"/>
          <w:kern w:val="0"/>
          <w:lang w:val="zh-CN"/>
        </w:rPr>
        <w:t>、报价须知：</w:t>
      </w:r>
      <w:r>
        <w:tab/>
      </w:r>
      <w:r>
        <w:fldChar w:fldCharType="begin"/>
      </w:r>
      <w:r>
        <w:instrText xml:space="preserve"> PAGEREF _Toc30324 \h </w:instrText>
      </w:r>
      <w:r>
        <w:fldChar w:fldCharType="separate"/>
      </w:r>
      <w:r>
        <w:t>13</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_Toc15880 </w:instrText>
      </w:r>
      <w:r>
        <w:rPr>
          <w:rFonts w:hint="eastAsia" w:ascii="方正仿宋_GBK" w:hAnsi="方正仿宋_GBK" w:eastAsia="方正仿宋_GBK" w:cs="方正仿宋_GBK"/>
          <w:szCs w:val="28"/>
        </w:rPr>
        <w:fldChar w:fldCharType="separate"/>
      </w:r>
      <w:r>
        <w:rPr>
          <w:rFonts w:hint="eastAsia" w:ascii="楷体" w:hAnsi="楷体" w:eastAsia="楷体" w:cs="楷体"/>
          <w:bCs/>
          <w:szCs w:val="44"/>
        </w:rPr>
        <w:t>第四章  评审方法和评审标准</w:t>
      </w:r>
      <w:r>
        <w:tab/>
      </w:r>
      <w:r>
        <w:fldChar w:fldCharType="begin"/>
      </w:r>
      <w:r>
        <w:instrText xml:space="preserve"> PAGEREF _Toc15880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_Toc6209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一、评标方法与定标原则</w:t>
      </w:r>
      <w:r>
        <w:tab/>
      </w:r>
      <w:r>
        <w:fldChar w:fldCharType="begin"/>
      </w:r>
      <w:r>
        <w:instrText xml:space="preserve"> PAGEREF _Toc6209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_Toc743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二、评标标准</w:t>
      </w:r>
      <w:r>
        <w:tab/>
      </w:r>
      <w:r>
        <w:fldChar w:fldCharType="begin"/>
      </w:r>
      <w:r>
        <w:instrText xml:space="preserve"> PAGEREF _Toc743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_Toc29299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第五章  磋商响应文件格式</w:t>
      </w:r>
      <w:r>
        <w:tab/>
      </w:r>
      <w:r>
        <w:fldChar w:fldCharType="begin"/>
      </w:r>
      <w:r>
        <w:instrText xml:space="preserve"> PAGEREF _Toc29299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_Toc769 </w:instrText>
      </w:r>
      <w:r>
        <w:rPr>
          <w:rFonts w:hint="eastAsia" w:ascii="方正仿宋_GBK" w:hAnsi="方正仿宋_GBK" w:eastAsia="方正仿宋_GBK" w:cs="方正仿宋_GBK"/>
          <w:szCs w:val="28"/>
        </w:rPr>
        <w:fldChar w:fldCharType="separate"/>
      </w:r>
      <w:r>
        <w:rPr>
          <w:rFonts w:hint="eastAsia" w:ascii="楷体" w:hAnsi="楷体" w:eastAsia="楷体" w:cs="楷体"/>
        </w:rPr>
        <w:t>一、磋商函</w:t>
      </w:r>
      <w:r>
        <w:tab/>
      </w:r>
      <w:r>
        <w:fldChar w:fldCharType="begin"/>
      </w:r>
      <w:r>
        <w:instrText xml:space="preserve"> PAGEREF _Toc769 \h </w:instrText>
      </w:r>
      <w:r>
        <w:fldChar w:fldCharType="separate"/>
      </w:r>
      <w:r>
        <w:t>19</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_Toc10933 </w:instrText>
      </w:r>
      <w:r>
        <w:rPr>
          <w:rFonts w:hint="eastAsia" w:ascii="方正仿宋_GBK" w:hAnsi="方正仿宋_GBK" w:eastAsia="方正仿宋_GBK" w:cs="方正仿宋_GBK"/>
          <w:szCs w:val="28"/>
        </w:rPr>
        <w:fldChar w:fldCharType="separate"/>
      </w:r>
      <w:r>
        <w:rPr>
          <w:rFonts w:hint="eastAsia" w:ascii="楷体" w:hAnsi="楷体" w:eastAsia="楷体" w:cs="楷体"/>
        </w:rPr>
        <w:t>二、报价表</w:t>
      </w:r>
      <w:r>
        <w:tab/>
      </w:r>
      <w:r>
        <w:fldChar w:fldCharType="begin"/>
      </w:r>
      <w:r>
        <w:instrText xml:space="preserve"> PAGEREF _Toc10933 \h </w:instrText>
      </w:r>
      <w:r>
        <w:fldChar w:fldCharType="separate"/>
      </w:r>
      <w:r>
        <w:t>20</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_Toc690 </w:instrText>
      </w:r>
      <w:r>
        <w:rPr>
          <w:rFonts w:hint="eastAsia" w:ascii="方正仿宋_GBK" w:hAnsi="方正仿宋_GBK" w:eastAsia="方正仿宋_GBK" w:cs="方正仿宋_GBK"/>
          <w:szCs w:val="28"/>
        </w:rPr>
        <w:fldChar w:fldCharType="separate"/>
      </w:r>
      <w:r>
        <w:rPr>
          <w:rFonts w:hint="eastAsia" w:ascii="楷体" w:hAnsi="楷体" w:eastAsia="楷体" w:cs="楷体"/>
        </w:rPr>
        <w:t>三、服务要求响应表</w:t>
      </w:r>
      <w:r>
        <w:tab/>
      </w:r>
      <w:r>
        <w:fldChar w:fldCharType="begin"/>
      </w:r>
      <w:r>
        <w:instrText xml:space="preserve"> PAGEREF _Toc690 \h </w:instrText>
      </w:r>
      <w:r>
        <w:fldChar w:fldCharType="separate"/>
      </w:r>
      <w:r>
        <w:t>21</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_Toc15328 </w:instrText>
      </w:r>
      <w:r>
        <w:rPr>
          <w:rFonts w:hint="eastAsia" w:ascii="方正仿宋_GBK" w:hAnsi="方正仿宋_GBK" w:eastAsia="方正仿宋_GBK" w:cs="方正仿宋_GBK"/>
          <w:szCs w:val="28"/>
        </w:rPr>
        <w:fldChar w:fldCharType="separate"/>
      </w:r>
      <w:r>
        <w:rPr>
          <w:rFonts w:hint="eastAsia" w:ascii="楷体" w:hAnsi="楷体" w:eastAsia="楷体" w:cs="楷体"/>
        </w:rPr>
        <w:t>四、服务方案</w:t>
      </w:r>
      <w:r>
        <w:tab/>
      </w:r>
      <w:r>
        <w:fldChar w:fldCharType="begin"/>
      </w:r>
      <w:r>
        <w:instrText xml:space="preserve"> PAGEREF _Toc15328 \h </w:instrText>
      </w:r>
      <w:r>
        <w:fldChar w:fldCharType="separate"/>
      </w:r>
      <w:r>
        <w:t>22</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_Toc407 </w:instrText>
      </w:r>
      <w:r>
        <w:rPr>
          <w:rFonts w:hint="eastAsia" w:ascii="方正仿宋_GBK" w:hAnsi="方正仿宋_GBK" w:eastAsia="方正仿宋_GBK" w:cs="方正仿宋_GBK"/>
          <w:szCs w:val="28"/>
        </w:rPr>
        <w:fldChar w:fldCharType="separate"/>
      </w:r>
      <w:r>
        <w:rPr>
          <w:rFonts w:hint="eastAsia" w:ascii="楷体" w:hAnsi="楷体" w:eastAsia="楷体" w:cs="楷体"/>
        </w:rPr>
        <w:t>五、企业资质</w:t>
      </w:r>
      <w:r>
        <w:tab/>
      </w:r>
      <w:r>
        <w:fldChar w:fldCharType="begin"/>
      </w:r>
      <w:r>
        <w:instrText xml:space="preserve"> PAGEREF _Toc407 \h </w:instrText>
      </w:r>
      <w:r>
        <w:fldChar w:fldCharType="separate"/>
      </w:r>
      <w:r>
        <w:t>23</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_Toc32418 </w:instrText>
      </w:r>
      <w:r>
        <w:rPr>
          <w:rFonts w:hint="eastAsia" w:ascii="方正仿宋_GBK" w:hAnsi="方正仿宋_GBK" w:eastAsia="方正仿宋_GBK" w:cs="方正仿宋_GBK"/>
          <w:szCs w:val="28"/>
        </w:rPr>
        <w:fldChar w:fldCharType="separate"/>
      </w:r>
      <w:r>
        <w:rPr>
          <w:rFonts w:hint="eastAsia" w:ascii="楷体" w:hAnsi="楷体" w:eastAsia="楷体" w:cs="楷体"/>
          <w:bCs/>
          <w:lang w:val="en-US" w:eastAsia="zh-CN"/>
        </w:rPr>
        <w:t>六、合同条款及格式</w:t>
      </w:r>
      <w:r>
        <w:tab/>
      </w:r>
      <w:r>
        <w:fldChar w:fldCharType="begin"/>
      </w:r>
      <w:r>
        <w:instrText xml:space="preserve"> PAGEREF _Toc32418 \h </w:instrText>
      </w:r>
      <w:r>
        <w:fldChar w:fldCharType="separate"/>
      </w:r>
      <w:r>
        <w:t>24</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_Toc30495 </w:instrText>
      </w:r>
      <w:r>
        <w:rPr>
          <w:rFonts w:hint="eastAsia" w:ascii="方正仿宋_GBK" w:hAnsi="方正仿宋_GBK" w:eastAsia="方正仿宋_GBK" w:cs="方正仿宋_GBK"/>
          <w:szCs w:val="28"/>
        </w:rPr>
        <w:fldChar w:fldCharType="separate"/>
      </w:r>
      <w:r>
        <w:rPr>
          <w:rFonts w:hint="eastAsia" w:ascii="楷体" w:hAnsi="楷体" w:eastAsia="楷体" w:cs="楷体"/>
          <w:bCs/>
          <w:lang w:val="en-US" w:eastAsia="zh-CN"/>
        </w:rPr>
        <w:t>七、</w:t>
      </w:r>
      <w:r>
        <w:rPr>
          <w:rFonts w:hint="eastAsia" w:ascii="楷体" w:hAnsi="楷体" w:eastAsia="楷体" w:cs="楷体"/>
          <w:bCs/>
        </w:rPr>
        <w:t>相关附表格式</w:t>
      </w:r>
      <w:r>
        <w:tab/>
      </w:r>
      <w:r>
        <w:fldChar w:fldCharType="begin"/>
      </w:r>
      <w:r>
        <w:instrText xml:space="preserve"> PAGEREF _Toc30495 \h </w:instrText>
      </w:r>
      <w:r>
        <w:fldChar w:fldCharType="separate"/>
      </w:r>
      <w:r>
        <w:t>26</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_Toc28734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件1：法人授权委托书</w:t>
      </w:r>
      <w:r>
        <w:tab/>
      </w:r>
      <w:r>
        <w:fldChar w:fldCharType="begin"/>
      </w:r>
      <w:r>
        <w:instrText xml:space="preserve"> PAGEREF _Toc28734 \h </w:instrText>
      </w:r>
      <w:r>
        <w:fldChar w:fldCharType="separate"/>
      </w:r>
      <w:r>
        <w:t>26</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_Toc2252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2</w:t>
      </w:r>
      <w:r>
        <w:rPr>
          <w:rFonts w:hint="eastAsia" w:ascii="楷体" w:hAnsi="楷体" w:eastAsia="楷体" w:cs="楷体"/>
        </w:rPr>
        <w:t>：具备履行合同所必需的设备和专业技术能力的书面声明</w:t>
      </w:r>
      <w:r>
        <w:tab/>
      </w:r>
      <w:r>
        <w:fldChar w:fldCharType="begin"/>
      </w:r>
      <w:r>
        <w:instrText xml:space="preserve"> PAGEREF _Toc2252 \h </w:instrText>
      </w:r>
      <w:r>
        <w:fldChar w:fldCharType="separate"/>
      </w:r>
      <w:r>
        <w:t>27</w:t>
      </w:r>
      <w:r>
        <w:fldChar w:fldCharType="end"/>
      </w:r>
      <w:r>
        <w:rPr>
          <w:rFonts w:hint="eastAsia" w:ascii="方正仿宋_GBK" w:hAnsi="方正仿宋_GBK" w:eastAsia="方正仿宋_GBK" w:cs="方正仿宋_GBK"/>
          <w:szCs w:val="28"/>
        </w:rPr>
        <w:fldChar w:fldCharType="end"/>
      </w:r>
    </w:p>
    <w:p>
      <w:pPr>
        <w:pStyle w:val="19"/>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_Toc28753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3</w:t>
      </w:r>
      <w:r>
        <w:rPr>
          <w:rFonts w:hint="eastAsia" w:ascii="楷体" w:hAnsi="楷体" w:eastAsia="楷体" w:cs="楷体"/>
        </w:rPr>
        <w:t>：三年内无重大违纪声明</w:t>
      </w:r>
      <w:r>
        <w:tab/>
      </w:r>
      <w:r>
        <w:fldChar w:fldCharType="begin"/>
      </w:r>
      <w:r>
        <w:instrText xml:space="preserve"> PAGEREF _Toc28753 \h </w:instrText>
      </w:r>
      <w:r>
        <w:fldChar w:fldCharType="separate"/>
      </w:r>
      <w:r>
        <w:t>28</w:t>
      </w:r>
      <w:r>
        <w:fldChar w:fldCharType="end"/>
      </w:r>
      <w:r>
        <w:rPr>
          <w:rFonts w:hint="eastAsia" w:ascii="方正仿宋_GBK" w:hAnsi="方正仿宋_GBK" w:eastAsia="方正仿宋_GBK" w:cs="方正仿宋_GBK"/>
          <w:szCs w:val="28"/>
        </w:rPr>
        <w:fldChar w:fldCharType="end"/>
      </w:r>
    </w:p>
    <w:p>
      <w:pPr>
        <w:pStyle w:val="19"/>
        <w:tabs>
          <w:tab w:val="right" w:leader="dot" w:pos="8306"/>
        </w:tabs>
        <w:rPr>
          <w:rFonts w:hint="eastAsia" w:ascii="方正仿宋_GBK" w:hAnsi="方正仿宋_GBK" w:eastAsia="方正仿宋_GBK" w:cs="方正仿宋_GBK"/>
          <w:szCs w:val="28"/>
        </w:rPr>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_Toc12129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4</w:t>
      </w:r>
      <w:r>
        <w:rPr>
          <w:rFonts w:hint="eastAsia" w:ascii="楷体" w:hAnsi="楷体" w:eastAsia="楷体" w:cs="楷体"/>
        </w:rPr>
        <w:t>：中小企业声明函格式</w:t>
      </w:r>
      <w:r>
        <w:tab/>
      </w:r>
      <w:r>
        <w:fldChar w:fldCharType="begin"/>
      </w:r>
      <w:r>
        <w:instrText xml:space="preserve"> PAGEREF _Toc12129 \h </w:instrText>
      </w:r>
      <w:r>
        <w:fldChar w:fldCharType="separate"/>
      </w:r>
      <w:r>
        <w:t>29</w:t>
      </w:r>
      <w:r>
        <w:fldChar w:fldCharType="end"/>
      </w:r>
      <w:r>
        <w:rPr>
          <w:rFonts w:hint="eastAsia" w:ascii="方正仿宋_GBK" w:hAnsi="方正仿宋_GBK" w:eastAsia="方正仿宋_GBK" w:cs="方正仿宋_GBK"/>
          <w:szCs w:val="28"/>
        </w:rPr>
        <w:fldChar w:fldCharType="end"/>
      </w:r>
    </w:p>
    <w:p>
      <w:pPr>
        <w:pStyle w:val="16"/>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00" w:lineRule="exact"/>
        <w:ind w:firstLine="0" w:firstLineChars="0"/>
        <w:jc w:val="center"/>
        <w:textAlignment w:val="auto"/>
        <w:outlineLvl w:val="2"/>
        <w:rPr>
          <w:rFonts w:ascii="楷体" w:hAnsi="楷体" w:eastAsia="楷体" w:cs="楷体"/>
        </w:rPr>
      </w:pPr>
    </w:p>
    <w:p/>
    <w:p>
      <w:pPr>
        <w:pStyle w:val="16"/>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00" w:lineRule="exact"/>
        <w:ind w:firstLine="0" w:firstLineChars="0"/>
        <w:jc w:val="center"/>
        <w:textAlignment w:val="auto"/>
        <w:outlineLvl w:val="2"/>
        <w:rPr>
          <w:rFonts w:ascii="楷体" w:hAnsi="楷体" w:eastAsia="楷体" w:cs="楷体"/>
          <w:sz w:val="40"/>
        </w:rPr>
      </w:pPr>
      <w:r>
        <w:rPr>
          <w:rFonts w:hint="eastAsia" w:ascii="方正仿宋_GBK" w:hAnsi="方正仿宋_GBK" w:eastAsia="方正仿宋_GBK" w:cs="方正仿宋_GBK"/>
          <w:szCs w:val="28"/>
        </w:rPr>
        <w:fldChar w:fldCharType="end"/>
      </w:r>
      <w:bookmarkStart w:id="6" w:name="_Toc324237145"/>
      <w:bookmarkStart w:id="7" w:name="_Toc10896"/>
      <w:bookmarkStart w:id="8" w:name="_Toc31882"/>
      <w:bookmarkStart w:id="9" w:name="_Toc25979"/>
      <w:r>
        <w:rPr>
          <w:rFonts w:hint="eastAsia" w:ascii="楷体" w:hAnsi="楷体" w:eastAsia="楷体" w:cs="楷体"/>
          <w:sz w:val="40"/>
        </w:rPr>
        <w:t xml:space="preserve">第一章  </w:t>
      </w:r>
      <w:bookmarkEnd w:id="0"/>
      <w:bookmarkEnd w:id="6"/>
      <w:bookmarkEnd w:id="7"/>
      <w:bookmarkEnd w:id="8"/>
      <w:r>
        <w:rPr>
          <w:rFonts w:hint="eastAsia" w:ascii="楷体" w:hAnsi="楷体" w:eastAsia="楷体" w:cs="楷体"/>
          <w:sz w:val="40"/>
        </w:rPr>
        <w:t>采购邀请</w:t>
      </w:r>
      <w:bookmarkEnd w:id="9"/>
    </w:p>
    <w:p>
      <w:pPr>
        <w:snapToGrid w:val="0"/>
        <w:spacing w:after="159" w:afterLines="50" w:line="360" w:lineRule="auto"/>
        <w:ind w:firstLine="480" w:firstLineChars="200"/>
        <w:rPr>
          <w:rFonts w:ascii="楷体" w:hAnsi="楷体" w:eastAsia="楷体" w:cs="楷体"/>
          <w:b/>
          <w:bCs/>
          <w:sz w:val="24"/>
          <w:szCs w:val="24"/>
        </w:rPr>
      </w:pPr>
      <w:r>
        <w:rPr>
          <w:rFonts w:hint="eastAsia" w:ascii="楷体" w:hAnsi="楷体" w:eastAsia="楷体" w:cs="楷体"/>
          <w:sz w:val="24"/>
          <w:szCs w:val="24"/>
        </w:rPr>
        <w:t>南京交通职业技术学院物资采购管件的供应理办公室受</w:t>
      </w:r>
      <w:r>
        <w:rPr>
          <w:rFonts w:hint="eastAsia" w:ascii="楷体" w:hAnsi="楷体" w:eastAsia="楷体" w:cs="楷体"/>
          <w:b/>
          <w:bCs/>
          <w:sz w:val="24"/>
          <w:szCs w:val="24"/>
        </w:rPr>
        <w:t>后勤管理处（基建办）</w:t>
      </w:r>
      <w:r>
        <w:rPr>
          <w:rFonts w:hint="eastAsia" w:ascii="楷体" w:hAnsi="楷体" w:eastAsia="楷体" w:cs="楷体"/>
          <w:sz w:val="24"/>
          <w:szCs w:val="24"/>
        </w:rPr>
        <w:t>的委托，就</w:t>
      </w:r>
      <w:r>
        <w:rPr>
          <w:rFonts w:hint="eastAsia" w:ascii="楷体" w:hAnsi="楷体" w:eastAsia="楷体" w:cs="楷体"/>
          <w:b/>
          <w:bCs/>
          <w:sz w:val="24"/>
          <w:szCs w:val="24"/>
        </w:rPr>
        <w:t>南京交通职业技术学院</w:t>
      </w:r>
      <w:r>
        <w:rPr>
          <w:rFonts w:hint="eastAsia" w:ascii="楷体" w:hAnsi="楷体" w:eastAsia="楷体" w:cs="楷体"/>
          <w:b/>
          <w:bCs/>
          <w:sz w:val="24"/>
          <w:szCs w:val="24"/>
          <w:lang w:eastAsia="zh-CN"/>
        </w:rPr>
        <w:t>行健馆226室报告厅改造工程项目</w:t>
      </w:r>
      <w:r>
        <w:rPr>
          <w:rFonts w:hint="eastAsia" w:ascii="楷体" w:hAnsi="楷体" w:eastAsia="楷体" w:cs="楷体"/>
          <w:b/>
          <w:bCs/>
          <w:sz w:val="24"/>
          <w:szCs w:val="24"/>
        </w:rPr>
        <w:t>实施竞争性磋商</w:t>
      </w:r>
      <w:r>
        <w:rPr>
          <w:rFonts w:hint="eastAsia" w:ascii="楷体" w:hAnsi="楷体" w:eastAsia="楷体" w:cs="楷体"/>
          <w:sz w:val="24"/>
          <w:szCs w:val="24"/>
        </w:rPr>
        <w:t>采购，欢迎符合条商参加磋商。</w:t>
      </w:r>
    </w:p>
    <w:p>
      <w:pPr>
        <w:pStyle w:val="40"/>
        <w:numPr>
          <w:ilvl w:val="0"/>
          <w:numId w:val="0"/>
        </w:numPr>
        <w:outlineLvl w:val="9"/>
        <w:rPr>
          <w:rFonts w:hint="eastAsia" w:ascii="楷体" w:hAnsi="楷体" w:eastAsia="楷体" w:cs="楷体"/>
          <w:snapToGrid w:val="0"/>
          <w:kern w:val="0"/>
        </w:rPr>
      </w:pPr>
      <w:bookmarkStart w:id="10" w:name="_Toc484"/>
      <w:r>
        <w:rPr>
          <w:rFonts w:hint="eastAsia" w:ascii="楷体" w:hAnsi="楷体" w:eastAsia="楷体" w:cs="楷体"/>
          <w:snapToGrid w:val="0"/>
          <w:kern w:val="0"/>
        </w:rPr>
        <w:t>一、采购项目简要说明</w:t>
      </w:r>
      <w:bookmarkEnd w:id="10"/>
    </w:p>
    <w:tbl>
      <w:tblPr>
        <w:tblStyle w:val="24"/>
        <w:tblW w:w="84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3"/>
        <w:gridCol w:w="1762"/>
        <w:gridCol w:w="61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blHeader/>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序号</w:t>
            </w:r>
          </w:p>
        </w:tc>
        <w:tc>
          <w:tcPr>
            <w:tcW w:w="1762"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项目</w:t>
            </w:r>
          </w:p>
        </w:tc>
        <w:tc>
          <w:tcPr>
            <w:tcW w:w="6157"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具 体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1</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项目名称</w:t>
            </w:r>
          </w:p>
        </w:tc>
        <w:tc>
          <w:tcPr>
            <w:tcW w:w="6157" w:type="dxa"/>
            <w:noWrap w:val="0"/>
            <w:vAlign w:val="center"/>
          </w:tcPr>
          <w:p>
            <w:pPr>
              <w:snapToGrid w:val="0"/>
              <w:rPr>
                <w:rFonts w:hint="eastAsia" w:ascii="楷体" w:hAnsi="楷体" w:eastAsia="楷体" w:cs="楷体"/>
                <w:sz w:val="24"/>
                <w:szCs w:val="24"/>
                <w:lang w:eastAsia="zh-CN"/>
              </w:rPr>
            </w:pPr>
            <w:r>
              <w:rPr>
                <w:rFonts w:hint="eastAsia" w:ascii="楷体" w:hAnsi="楷体" w:eastAsia="楷体" w:cs="楷体"/>
                <w:b/>
                <w:bCs/>
                <w:sz w:val="24"/>
                <w:szCs w:val="24"/>
              </w:rPr>
              <w:t>南</w:t>
            </w:r>
            <w:r>
              <w:rPr>
                <w:rFonts w:hint="eastAsia" w:ascii="楷体" w:hAnsi="楷体" w:eastAsia="楷体" w:cs="楷体"/>
                <w:b/>
                <w:bCs/>
                <w:sz w:val="24"/>
                <w:szCs w:val="24"/>
                <w:lang w:eastAsia="zh-CN"/>
              </w:rPr>
              <w:t>京交通职业技术学院行健馆226室报告厅改造工程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2</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采购方式</w:t>
            </w:r>
          </w:p>
        </w:tc>
        <w:tc>
          <w:tcPr>
            <w:tcW w:w="6157" w:type="dxa"/>
            <w:noWrap w:val="0"/>
            <w:vAlign w:val="center"/>
          </w:tcPr>
          <w:p>
            <w:pPr>
              <w:snapToGrid w:val="0"/>
              <w:rPr>
                <w:rFonts w:ascii="楷体" w:hAnsi="楷体" w:eastAsia="楷体" w:cs="楷体"/>
                <w:sz w:val="24"/>
                <w:szCs w:val="24"/>
              </w:rPr>
            </w:pPr>
            <w:r>
              <w:rPr>
                <w:rFonts w:hint="eastAsia" w:ascii="楷体" w:hAnsi="楷体" w:eastAsia="楷体" w:cs="楷体"/>
                <w:b/>
                <w:bCs/>
                <w:sz w:val="24"/>
                <w:szCs w:val="24"/>
              </w:rPr>
              <w:t>竞争性磋商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3</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采购编号</w:t>
            </w:r>
          </w:p>
        </w:tc>
        <w:tc>
          <w:tcPr>
            <w:tcW w:w="6157" w:type="dxa"/>
            <w:noWrap w:val="0"/>
            <w:vAlign w:val="center"/>
          </w:tcPr>
          <w:p>
            <w:pPr>
              <w:snapToGrid w:val="0"/>
              <w:rPr>
                <w:rFonts w:hint="default" w:ascii="楷体" w:hAnsi="楷体" w:eastAsia="楷体" w:cs="楷体"/>
                <w:sz w:val="24"/>
                <w:szCs w:val="24"/>
                <w:lang w:val="en-US" w:eastAsia="zh-CN"/>
              </w:rPr>
            </w:pPr>
            <w:r>
              <w:rPr>
                <w:rFonts w:ascii="楷体" w:hAnsi="楷体" w:eastAsia="楷体" w:cs="楷体"/>
                <w:b/>
                <w:bCs/>
                <w:sz w:val="24"/>
                <w:szCs w:val="24"/>
              </w:rPr>
              <w:t>JY20</w:t>
            </w:r>
            <w:r>
              <w:rPr>
                <w:rFonts w:hint="eastAsia" w:ascii="楷体" w:hAnsi="楷体" w:eastAsia="楷体" w:cs="楷体"/>
                <w:b/>
                <w:bCs/>
                <w:sz w:val="24"/>
                <w:szCs w:val="24"/>
                <w:lang w:val="en-US" w:eastAsia="zh-CN"/>
              </w:rPr>
              <w:t>21144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4</w:t>
            </w:r>
          </w:p>
        </w:tc>
        <w:tc>
          <w:tcPr>
            <w:tcW w:w="1762" w:type="dxa"/>
            <w:noWrap w:val="0"/>
            <w:vAlign w:val="center"/>
          </w:tcPr>
          <w:p>
            <w:pPr>
              <w:snapToGrid w:val="0"/>
              <w:ind w:right="102"/>
              <w:rPr>
                <w:rFonts w:ascii="楷体" w:hAnsi="楷体" w:eastAsia="楷体" w:cs="楷体"/>
                <w:sz w:val="24"/>
                <w:szCs w:val="24"/>
              </w:rPr>
            </w:pPr>
            <w:r>
              <w:rPr>
                <w:rFonts w:hint="eastAsia" w:ascii="楷体" w:hAnsi="楷体" w:eastAsia="楷体" w:cs="楷体"/>
                <w:sz w:val="24"/>
                <w:szCs w:val="24"/>
              </w:rPr>
              <w:t>分包号</w:t>
            </w:r>
          </w:p>
        </w:tc>
        <w:tc>
          <w:tcPr>
            <w:tcW w:w="6157" w:type="dxa"/>
            <w:noWrap w:val="0"/>
            <w:vAlign w:val="center"/>
          </w:tcPr>
          <w:p>
            <w:pPr>
              <w:shd w:val="clear" w:color="auto" w:fill="FFFFFF"/>
              <w:snapToGrid w:val="0"/>
              <w:rPr>
                <w:rFonts w:hint="eastAsia" w:ascii="楷体" w:hAnsi="楷体" w:eastAsia="楷体" w:cs="楷体"/>
                <w:sz w:val="24"/>
                <w:szCs w:val="24"/>
              </w:rPr>
            </w:pPr>
            <w:r>
              <w:rPr>
                <w:rFonts w:hint="eastAsia" w:ascii="楷体" w:hAnsi="楷体" w:eastAsia="楷体" w:cs="楷体"/>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5</w:t>
            </w:r>
          </w:p>
        </w:tc>
        <w:tc>
          <w:tcPr>
            <w:tcW w:w="1762" w:type="dxa"/>
            <w:noWrap w:val="0"/>
            <w:vAlign w:val="center"/>
          </w:tcPr>
          <w:p>
            <w:pPr>
              <w:snapToGrid w:val="0"/>
              <w:ind w:right="102"/>
              <w:rPr>
                <w:rFonts w:ascii="楷体" w:hAnsi="楷体" w:eastAsia="楷体" w:cs="楷体"/>
                <w:sz w:val="24"/>
                <w:szCs w:val="24"/>
              </w:rPr>
            </w:pPr>
            <w:r>
              <w:rPr>
                <w:rFonts w:hint="eastAsia" w:ascii="楷体" w:hAnsi="楷体" w:eastAsia="楷体" w:cs="楷体"/>
                <w:sz w:val="24"/>
                <w:szCs w:val="24"/>
              </w:rPr>
              <w:t>采购人</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南京交通职业技术学院</w:t>
            </w:r>
          </w:p>
          <w:p>
            <w:pPr>
              <w:snapToGrid w:val="0"/>
              <w:rPr>
                <w:rFonts w:hint="default" w:ascii="楷体" w:hAnsi="楷体" w:eastAsia="楷体" w:cs="楷体"/>
                <w:sz w:val="24"/>
                <w:szCs w:val="24"/>
                <w:lang w:val="en-US" w:eastAsia="zh-CN"/>
              </w:rPr>
            </w:pPr>
            <w:r>
              <w:rPr>
                <w:rFonts w:hint="eastAsia" w:ascii="楷体" w:hAnsi="楷体" w:eastAsia="楷体" w:cs="楷体"/>
                <w:sz w:val="24"/>
                <w:szCs w:val="24"/>
              </w:rPr>
              <w:t>联系人：</w:t>
            </w:r>
            <w:r>
              <w:rPr>
                <w:rFonts w:hint="eastAsia" w:ascii="楷体" w:hAnsi="楷体" w:eastAsia="楷体" w:cs="楷体"/>
                <w:sz w:val="24"/>
                <w:szCs w:val="24"/>
                <w:lang w:eastAsia="zh-CN"/>
              </w:rPr>
              <w:t>张</w:t>
            </w:r>
            <w:r>
              <w:rPr>
                <w:rFonts w:hint="eastAsia" w:ascii="楷体" w:hAnsi="楷体" w:eastAsia="楷体" w:cs="楷体"/>
                <w:sz w:val="24"/>
                <w:szCs w:val="24"/>
              </w:rPr>
              <w:t>老师   电话：025-86115</w:t>
            </w:r>
            <w:r>
              <w:rPr>
                <w:rFonts w:hint="eastAsia" w:ascii="楷体" w:hAnsi="楷体" w:eastAsia="楷体" w:cs="楷体"/>
                <w:sz w:val="24"/>
                <w:szCs w:val="24"/>
                <w:lang w:val="en-US" w:eastAsia="zh-CN"/>
              </w:rPr>
              <w:t>729</w:t>
            </w:r>
          </w:p>
          <w:p>
            <w:pPr>
              <w:snapToGrid w:val="0"/>
              <w:rPr>
                <w:rFonts w:ascii="楷体" w:hAnsi="楷体" w:eastAsia="华文楷体" w:cs="楷体"/>
                <w:sz w:val="24"/>
                <w:szCs w:val="24"/>
              </w:rPr>
            </w:pPr>
            <w:r>
              <w:rPr>
                <w:rFonts w:hint="eastAsia" w:ascii="楷体" w:hAnsi="楷体" w:eastAsia="楷体" w:cs="楷体"/>
                <w:sz w:val="24"/>
                <w:szCs w:val="24"/>
              </w:rPr>
              <w:t>地址：</w:t>
            </w:r>
            <w:r>
              <w:rPr>
                <w:rFonts w:hint="eastAsia" w:ascii="华文楷体" w:hAnsi="华文楷体" w:eastAsia="华文楷体" w:cs="华文楷体"/>
                <w:sz w:val="24"/>
                <w:szCs w:val="24"/>
              </w:rPr>
              <w:t>南京市江宁区龙眠大道629号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6</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采购项目简要说明、预算金额</w:t>
            </w:r>
          </w:p>
        </w:tc>
        <w:tc>
          <w:tcPr>
            <w:tcW w:w="6157" w:type="dxa"/>
            <w:noWrap w:val="0"/>
            <w:vAlign w:val="center"/>
          </w:tcPr>
          <w:p>
            <w:pPr>
              <w:shd w:val="clear" w:color="auto" w:fill="FFFFFF"/>
              <w:tabs>
                <w:tab w:val="left" w:pos="312"/>
              </w:tabs>
              <w:snapToGrid w:val="0"/>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1、项目概况：</w:t>
            </w:r>
          </w:p>
          <w:p>
            <w:pPr>
              <w:shd w:val="clear" w:color="auto" w:fill="FFFFFF"/>
              <w:tabs>
                <w:tab w:val="left" w:pos="312"/>
              </w:tabs>
              <w:snapToGrid w:val="0"/>
              <w:rPr>
                <w:rFonts w:hint="eastAsia" w:ascii="楷体" w:hAnsi="楷体" w:eastAsia="楷体" w:cs="楷体"/>
                <w:b/>
                <w:bCs/>
                <w:sz w:val="24"/>
                <w:szCs w:val="24"/>
                <w:lang w:eastAsia="zh-CN"/>
              </w:rPr>
            </w:pPr>
            <w:r>
              <w:rPr>
                <w:rFonts w:hint="eastAsia" w:ascii="楷体" w:hAnsi="楷体" w:eastAsia="楷体" w:cs="楷体"/>
                <w:b/>
                <w:bCs/>
                <w:sz w:val="24"/>
                <w:szCs w:val="24"/>
                <w:lang w:eastAsia="zh-CN"/>
              </w:rPr>
              <w:t>行健馆226室报告厅改造工程</w:t>
            </w:r>
          </w:p>
          <w:p>
            <w:pPr>
              <w:shd w:val="clear" w:color="auto" w:fill="FFFFFF"/>
              <w:tabs>
                <w:tab w:val="left" w:pos="312"/>
              </w:tabs>
              <w:snapToGrid w:val="0"/>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2、预算19.25万元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7</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lang w:eastAsia="zh-CN"/>
              </w:rPr>
              <w:t>投标</w:t>
            </w:r>
            <w:r>
              <w:rPr>
                <w:rFonts w:hint="eastAsia" w:ascii="楷体" w:hAnsi="楷体" w:eastAsia="楷体" w:cs="楷体"/>
                <w:sz w:val="24"/>
                <w:szCs w:val="24"/>
              </w:rPr>
              <w:t>保证金</w:t>
            </w:r>
          </w:p>
        </w:tc>
        <w:tc>
          <w:tcPr>
            <w:tcW w:w="6157" w:type="dxa"/>
            <w:noWrap w:val="0"/>
            <w:vAlign w:val="center"/>
          </w:tcPr>
          <w:p>
            <w:pPr>
              <w:shd w:val="clear" w:color="auto" w:fill="FFFFFF"/>
              <w:tabs>
                <w:tab w:val="left" w:pos="312"/>
              </w:tabs>
              <w:snapToGrid w:val="0"/>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保证金金额：人民币伍仟元整</w:t>
            </w:r>
          </w:p>
          <w:p>
            <w:pPr>
              <w:shd w:val="clear" w:color="auto" w:fill="FFFFFF"/>
              <w:tabs>
                <w:tab w:val="left" w:pos="312"/>
              </w:tabs>
              <w:snapToGrid w:val="0"/>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保证金形式：现金形式（信封密封盖章，现场收取）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8</w:t>
            </w:r>
          </w:p>
        </w:tc>
        <w:tc>
          <w:tcPr>
            <w:tcW w:w="1762" w:type="dxa"/>
            <w:noWrap w:val="0"/>
            <w:vAlign w:val="center"/>
          </w:tcPr>
          <w:p>
            <w:pPr>
              <w:shd w:val="clear" w:color="auto" w:fill="FFFFFF"/>
              <w:tabs>
                <w:tab w:val="left" w:pos="312"/>
              </w:tabs>
              <w:snapToGrid w:val="0"/>
              <w:rPr>
                <w:rFonts w:hint="eastAsia" w:ascii="楷体" w:hAnsi="楷体" w:eastAsia="楷体" w:cs="楷体"/>
                <w:sz w:val="24"/>
                <w:szCs w:val="24"/>
              </w:rPr>
            </w:pPr>
            <w:r>
              <w:rPr>
                <w:rFonts w:hint="eastAsia" w:ascii="楷体" w:hAnsi="楷体" w:eastAsia="楷体" w:cs="楷体"/>
                <w:sz w:val="24"/>
                <w:szCs w:val="24"/>
              </w:rPr>
              <w:t>响应文件接收</w:t>
            </w:r>
          </w:p>
        </w:tc>
        <w:tc>
          <w:tcPr>
            <w:tcW w:w="6157" w:type="dxa"/>
            <w:noWrap w:val="0"/>
            <w:vAlign w:val="center"/>
          </w:tcPr>
          <w:p>
            <w:pPr>
              <w:shd w:val="clear" w:color="auto" w:fill="FFFFFF"/>
              <w:tabs>
                <w:tab w:val="left" w:pos="312"/>
              </w:tabs>
              <w:snapToGrid w:val="0"/>
              <w:rPr>
                <w:rFonts w:hint="default" w:ascii="楷体" w:hAnsi="楷体" w:eastAsia="楷体" w:cs="楷体"/>
                <w:sz w:val="24"/>
                <w:szCs w:val="24"/>
                <w:lang w:val="en-US" w:eastAsia="zh-CN"/>
              </w:rPr>
            </w:pPr>
            <w:r>
              <w:rPr>
                <w:rFonts w:hint="eastAsia" w:ascii="楷体" w:hAnsi="楷体" w:eastAsia="楷体" w:cs="楷体"/>
                <w:sz w:val="24"/>
                <w:szCs w:val="24"/>
              </w:rPr>
              <w:t>接收响应文件时间</w:t>
            </w:r>
            <w:r>
              <w:rPr>
                <w:rFonts w:hint="eastAsia" w:ascii="楷体" w:hAnsi="楷体" w:eastAsia="楷体" w:cs="楷体"/>
                <w:b/>
                <w:bCs/>
                <w:sz w:val="24"/>
                <w:szCs w:val="24"/>
              </w:rPr>
              <w:t>：202</w:t>
            </w:r>
            <w:r>
              <w:rPr>
                <w:rFonts w:hint="eastAsia" w:ascii="楷体" w:hAnsi="楷体" w:eastAsia="楷体" w:cs="楷体"/>
                <w:b/>
                <w:bCs/>
                <w:sz w:val="24"/>
                <w:szCs w:val="24"/>
                <w:lang w:val="en-US" w:eastAsia="zh-CN"/>
              </w:rPr>
              <w:t>1</w:t>
            </w:r>
            <w:r>
              <w:rPr>
                <w:rFonts w:hint="eastAsia" w:ascii="楷体" w:hAnsi="楷体" w:eastAsia="楷体" w:cs="楷体"/>
                <w:b/>
                <w:bCs/>
                <w:sz w:val="24"/>
                <w:szCs w:val="24"/>
              </w:rPr>
              <w:t>年</w:t>
            </w:r>
            <w:r>
              <w:rPr>
                <w:rFonts w:hint="eastAsia" w:ascii="楷体" w:hAnsi="楷体" w:eastAsia="楷体" w:cs="楷体"/>
                <w:b/>
                <w:bCs/>
                <w:sz w:val="24"/>
                <w:szCs w:val="24"/>
                <w:lang w:val="en-US" w:eastAsia="zh-CN"/>
              </w:rPr>
              <w:t>10</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26</w:t>
            </w:r>
            <w:r>
              <w:rPr>
                <w:rFonts w:hint="eastAsia" w:ascii="楷体" w:hAnsi="楷体" w:eastAsia="楷体" w:cs="楷体"/>
                <w:b/>
                <w:bCs/>
                <w:sz w:val="24"/>
                <w:szCs w:val="24"/>
              </w:rPr>
              <w:t>日</w:t>
            </w:r>
            <w:r>
              <w:rPr>
                <w:rFonts w:hint="eastAsia" w:ascii="楷体" w:hAnsi="楷体" w:eastAsia="楷体" w:cs="楷体"/>
                <w:b/>
                <w:bCs/>
                <w:sz w:val="24"/>
                <w:szCs w:val="24"/>
                <w:lang w:val="en-US" w:eastAsia="zh-CN"/>
              </w:rPr>
              <w:t xml:space="preserve">  下午2:00</w:t>
            </w:r>
          </w:p>
          <w:p>
            <w:pPr>
              <w:shd w:val="clear" w:color="auto" w:fill="FFFFFF"/>
              <w:tabs>
                <w:tab w:val="left" w:pos="312"/>
              </w:tabs>
              <w:snapToGrid w:val="0"/>
              <w:rPr>
                <w:rFonts w:ascii="楷体" w:hAnsi="楷体" w:eastAsia="楷体" w:cs="楷体"/>
                <w:sz w:val="24"/>
                <w:szCs w:val="24"/>
              </w:rPr>
            </w:pPr>
            <w:r>
              <w:rPr>
                <w:rFonts w:hint="eastAsia" w:ascii="楷体" w:hAnsi="楷体" w:eastAsia="楷体" w:cs="楷体"/>
                <w:sz w:val="24"/>
                <w:szCs w:val="24"/>
              </w:rPr>
              <w:t>接收地点：南京市江宁区龙眠大道629号南京交通职业技术学院弘毅楼217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9</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响应文件数量</w:t>
            </w:r>
          </w:p>
        </w:tc>
        <w:tc>
          <w:tcPr>
            <w:tcW w:w="6157" w:type="dxa"/>
            <w:noWrap w:val="0"/>
            <w:vAlign w:val="center"/>
          </w:tcPr>
          <w:p>
            <w:pPr>
              <w:spacing w:line="324" w:lineRule="auto"/>
              <w:ind w:left="720" w:hanging="720" w:hangingChars="300"/>
              <w:rPr>
                <w:rFonts w:hint="eastAsia" w:ascii="楷体" w:hAnsi="楷体" w:eastAsia="楷体" w:cs="楷体"/>
                <w:sz w:val="24"/>
                <w:szCs w:val="24"/>
              </w:rPr>
            </w:pPr>
            <w:r>
              <w:rPr>
                <w:rFonts w:hint="eastAsia" w:ascii="楷体" w:hAnsi="楷体" w:eastAsia="楷体" w:cs="楷体"/>
                <w:sz w:val="24"/>
                <w:szCs w:val="24"/>
              </w:rPr>
              <w:t>正本份数：1份</w:t>
            </w:r>
          </w:p>
          <w:p>
            <w:pPr>
              <w:spacing w:line="324" w:lineRule="auto"/>
              <w:ind w:left="720" w:hanging="720" w:hangingChars="300"/>
              <w:rPr>
                <w:rFonts w:hint="eastAsia" w:ascii="楷体" w:hAnsi="楷体" w:eastAsia="楷体" w:cs="楷体"/>
                <w:sz w:val="24"/>
                <w:szCs w:val="24"/>
              </w:rPr>
            </w:pPr>
            <w:r>
              <w:rPr>
                <w:rFonts w:hint="eastAsia" w:ascii="楷体" w:hAnsi="楷体" w:eastAsia="楷体" w:cs="楷体"/>
                <w:sz w:val="24"/>
                <w:szCs w:val="24"/>
              </w:rPr>
              <w:t>副本份数：2份  电子文档1份（U盘与正本单独封装）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10</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报名方式时间</w:t>
            </w:r>
          </w:p>
        </w:tc>
        <w:tc>
          <w:tcPr>
            <w:tcW w:w="6157" w:type="dxa"/>
            <w:noWrap w:val="0"/>
            <w:vAlign w:val="top"/>
          </w:tcPr>
          <w:p>
            <w:pPr>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"mailto:凡有意参加投标者，请于2017年7月4日前将投标函发送至邮箱cgb@njitt.edu.cn，采购办不接受没有报名确认的询价文件。" </w:instrText>
            </w:r>
            <w:r>
              <w:rPr>
                <w:rFonts w:hint="eastAsia" w:ascii="楷体" w:hAnsi="楷体" w:eastAsia="楷体" w:cs="楷体"/>
                <w:sz w:val="24"/>
                <w:szCs w:val="24"/>
              </w:rPr>
              <w:fldChar w:fldCharType="separate"/>
            </w:r>
            <w:r>
              <w:rPr>
                <w:rFonts w:hint="eastAsia" w:ascii="楷体" w:hAnsi="楷体" w:eastAsia="楷体" w:cs="楷体"/>
                <w:sz w:val="24"/>
                <w:szCs w:val="24"/>
              </w:rPr>
              <w:t>凡有意参加的响应商，请于202</w:t>
            </w:r>
            <w:r>
              <w:rPr>
                <w:rFonts w:hint="eastAsia" w:ascii="楷体" w:hAnsi="楷体" w:eastAsia="楷体" w:cs="楷体"/>
                <w:sz w:val="24"/>
                <w:szCs w:val="24"/>
                <w:lang w:val="en-US" w:eastAsia="zh-CN"/>
              </w:rPr>
              <w:t>1</w:t>
            </w:r>
            <w:r>
              <w:rPr>
                <w:rFonts w:hint="eastAsia" w:ascii="楷体" w:hAnsi="楷体" w:eastAsia="楷体" w:cs="楷体"/>
                <w:sz w:val="24"/>
                <w:szCs w:val="24"/>
              </w:rPr>
              <w:t>年</w:t>
            </w:r>
            <w:r>
              <w:rPr>
                <w:rFonts w:hint="eastAsia" w:ascii="楷体" w:hAnsi="楷体" w:eastAsia="楷体" w:cs="楷体"/>
                <w:sz w:val="24"/>
                <w:szCs w:val="24"/>
                <w:lang w:val="en-US" w:eastAsia="zh-CN"/>
              </w:rPr>
              <w:t>10</w:t>
            </w:r>
            <w:r>
              <w:rPr>
                <w:rFonts w:hint="eastAsia" w:ascii="楷体" w:hAnsi="楷体" w:eastAsia="楷体" w:cs="楷体"/>
                <w:sz w:val="24"/>
                <w:szCs w:val="24"/>
              </w:rPr>
              <w:t>月</w:t>
            </w:r>
            <w:r>
              <w:rPr>
                <w:rFonts w:hint="eastAsia" w:ascii="楷体" w:hAnsi="楷体" w:eastAsia="楷体" w:cs="楷体"/>
                <w:sz w:val="24"/>
                <w:szCs w:val="24"/>
                <w:lang w:val="en-US" w:eastAsia="zh-CN"/>
              </w:rPr>
              <w:t>22日上午9点</w:t>
            </w:r>
            <w:r>
              <w:rPr>
                <w:rFonts w:hint="eastAsia" w:ascii="楷体" w:hAnsi="楷体" w:eastAsia="楷体" w:cs="楷体"/>
                <w:sz w:val="24"/>
                <w:szCs w:val="24"/>
              </w:rPr>
              <w:t>前将确认</w:t>
            </w:r>
            <w:r>
              <w:rPr>
                <w:rFonts w:hint="eastAsia" w:ascii="楷体" w:hAnsi="楷体" w:eastAsia="楷体" w:cs="楷体"/>
                <w:sz w:val="24"/>
                <w:szCs w:val="24"/>
                <w:lang w:eastAsia="zh-CN"/>
              </w:rPr>
              <w:t>函</w:t>
            </w:r>
            <w:r>
              <w:rPr>
                <w:rFonts w:hint="eastAsia" w:ascii="楷体" w:hAnsi="楷体" w:eastAsia="楷体" w:cs="楷体"/>
                <w:sz w:val="24"/>
                <w:szCs w:val="24"/>
              </w:rPr>
              <w:t>发送至邮箱cgb@njitt.edu.cn，采购办</w:t>
            </w:r>
            <w:r>
              <w:rPr>
                <w:rFonts w:hint="eastAsia" w:ascii="楷体" w:hAnsi="楷体" w:eastAsia="楷体" w:cs="楷体"/>
                <w:sz w:val="24"/>
                <w:szCs w:val="24"/>
                <w:lang w:eastAsia="zh-CN"/>
              </w:rPr>
              <w:t>不</w:t>
            </w:r>
            <w:r>
              <w:rPr>
                <w:rFonts w:hint="eastAsia" w:ascii="楷体" w:hAnsi="楷体" w:eastAsia="楷体" w:cs="楷体"/>
                <w:sz w:val="24"/>
                <w:szCs w:val="24"/>
              </w:rPr>
              <w:t>接受没有报名认</w:t>
            </w:r>
          </w:p>
          <w:p>
            <w:pPr>
              <w:rPr>
                <w:rFonts w:hint="eastAsia" w:ascii="楷体" w:hAnsi="楷体" w:eastAsia="楷体" w:cs="楷体"/>
                <w:sz w:val="24"/>
                <w:szCs w:val="24"/>
              </w:rPr>
            </w:pPr>
            <w:r>
              <w:rPr>
                <w:rFonts w:hint="eastAsia" w:ascii="楷体" w:hAnsi="楷体" w:eastAsia="楷体" w:cs="楷体"/>
                <w:sz w:val="24"/>
                <w:szCs w:val="24"/>
              </w:rPr>
              <w:t>的响应文件。</w:t>
            </w:r>
            <w:r>
              <w:rPr>
                <w:rFonts w:hint="eastAsia" w:ascii="楷体" w:hAnsi="楷体" w:eastAsia="楷体" w:cs="楷体"/>
                <w:sz w:val="24"/>
                <w:szCs w:val="24"/>
              </w:rPr>
              <w:fldChar w:fldCharType="end"/>
            </w:r>
            <w:r>
              <w:rPr>
                <w:rFonts w:hint="eastAsia" w:ascii="楷体" w:hAnsi="楷体" w:eastAsia="楷体" w:cs="楷体"/>
                <w:sz w:val="24"/>
                <w:szCs w:val="24"/>
              </w:rPr>
              <w:t>邮件主题为公司名称+项目名称。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11</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响应文件有效期</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响应截止时间后九十天</w:t>
            </w:r>
          </w:p>
        </w:tc>
      </w:tr>
    </w:tbl>
    <w:p>
      <w:pPr>
        <w:pStyle w:val="40"/>
        <w:numPr>
          <w:ilvl w:val="0"/>
          <w:numId w:val="0"/>
        </w:numPr>
        <w:outlineLvl w:val="9"/>
        <w:rPr>
          <w:rFonts w:hint="eastAsia" w:ascii="楷体" w:hAnsi="楷体" w:eastAsia="楷体" w:cs="楷体"/>
          <w:snapToGrid w:val="0"/>
          <w:kern w:val="0"/>
        </w:rPr>
      </w:pPr>
    </w:p>
    <w:p>
      <w:pPr>
        <w:pStyle w:val="40"/>
        <w:numPr>
          <w:ilvl w:val="0"/>
          <w:numId w:val="0"/>
        </w:numPr>
        <w:outlineLvl w:val="9"/>
        <w:rPr>
          <w:rFonts w:hint="eastAsia" w:ascii="楷体" w:hAnsi="楷体" w:eastAsia="楷体" w:cs="楷体"/>
          <w:snapToGrid w:val="0"/>
          <w:kern w:val="0"/>
        </w:rPr>
      </w:pPr>
      <w:bookmarkStart w:id="11" w:name="_Toc22993"/>
      <w:r>
        <w:rPr>
          <w:rFonts w:hint="eastAsia" w:ascii="楷体" w:hAnsi="楷体" w:eastAsia="楷体" w:cs="楷体"/>
          <w:snapToGrid w:val="0"/>
          <w:kern w:val="0"/>
        </w:rPr>
        <w:t>二、合格磋商供应商资格要求</w:t>
      </w:r>
      <w:bookmarkEnd w:id="11"/>
    </w:p>
    <w:p>
      <w:pPr>
        <w:snapToGrid w:val="0"/>
        <w:spacing w:line="360" w:lineRule="auto"/>
        <w:ind w:firstLine="420"/>
        <w:rPr>
          <w:rFonts w:ascii="楷体" w:hAnsi="楷体" w:eastAsia="楷体" w:cs="楷体"/>
          <w:sz w:val="24"/>
          <w:szCs w:val="24"/>
        </w:rPr>
      </w:pPr>
      <w:bookmarkStart w:id="12" w:name="_Toc6126"/>
      <w:r>
        <w:rPr>
          <w:rFonts w:hint="eastAsia" w:ascii="楷体" w:hAnsi="楷体" w:eastAsia="楷体" w:cs="楷体"/>
          <w:sz w:val="24"/>
          <w:szCs w:val="24"/>
        </w:rPr>
        <w:t>（一）符合政府采购法第二十二条规定的条件，并提供下列材料；</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1、磋商供应商法人或者其他组织的营业执照等证明文件，自然人的身份证明；</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2、磋商供应商具有良好的商业信誉和健全的财务会计制度，提供20</w:t>
      </w:r>
      <w:r>
        <w:rPr>
          <w:rFonts w:hint="eastAsia" w:ascii="楷体" w:hAnsi="楷体" w:eastAsia="楷体" w:cs="楷体"/>
          <w:sz w:val="24"/>
          <w:szCs w:val="24"/>
          <w:lang w:val="en-US" w:eastAsia="zh-CN"/>
        </w:rPr>
        <w:t>20</w:t>
      </w:r>
      <w:r>
        <w:rPr>
          <w:rFonts w:hint="eastAsia" w:ascii="楷体" w:hAnsi="楷体" w:eastAsia="楷体" w:cs="楷体"/>
          <w:sz w:val="24"/>
          <w:szCs w:val="24"/>
        </w:rPr>
        <w:t>年度经审计的财务审计报告（至少包含资产负债表、利润表，成立不满一年不需提供）；</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3、磋商供应商有依法缴纳税收和社会保障资金的良好记录，提供参加本次政府采购活动近六个月（至少一个月）依法缴纳税收和社会保障资金的相关材料（根据国家相关政策免缴或迟缴的需提供相关证明材料）（事业单位或社会团体从其行业规定）；</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 xml:space="preserve">4、磋商供应商具有履行合同所必需的设备和专业技术能力（根据项目需求提供履行合同所必需的设备和专业技术能力的声明或证明材料）； </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5、磋商供应商参加政府采购活动前3年内在经营活动中没有重大违法记录的书面声明；</w:t>
      </w:r>
    </w:p>
    <w:p>
      <w:pPr>
        <w:snapToGrid w:val="0"/>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6、磋商供应商具备法律、行政法规规定的其他条件的证明材料。</w:t>
      </w:r>
    </w:p>
    <w:p>
      <w:pPr>
        <w:snapToGrid w:val="0"/>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（二）其他资格条件：</w:t>
      </w:r>
      <w:bookmarkEnd w:id="12"/>
      <w:bookmarkStart w:id="13" w:name="_Toc16747"/>
      <w:bookmarkStart w:id="14" w:name="_Toc120614211"/>
      <w:bookmarkStart w:id="15" w:name="_Toc324237146"/>
    </w:p>
    <w:p>
      <w:pPr>
        <w:snapToGrid w:val="0"/>
        <w:spacing w:line="360" w:lineRule="auto"/>
        <w:ind w:firstLine="480" w:firstLineChars="200"/>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建筑装修装饰工程专业承包三级（或乙级）及以上资质（提供有效期内的资质证书复印件并加盖公章；</w:t>
      </w:r>
    </w:p>
    <w:p>
      <w:pPr>
        <w:snapToGrid w:val="0"/>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（三）本项目不接受联合体参与投标。</w:t>
      </w:r>
    </w:p>
    <w:p>
      <w:pPr>
        <w:snapToGrid w:val="0"/>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（四）拒绝下述供应商参加本次采购活动：</w:t>
      </w:r>
    </w:p>
    <w:p>
      <w:pPr>
        <w:snapToGrid w:val="0"/>
        <w:spacing w:line="360" w:lineRule="auto"/>
        <w:ind w:firstLine="480" w:firstLineChars="200"/>
        <w:rPr>
          <w:rFonts w:hint="eastAsia" w:ascii="楷体" w:hAnsi="楷体" w:eastAsia="楷体" w:cs="楷体"/>
          <w:sz w:val="24"/>
          <w:szCs w:val="24"/>
          <w:lang w:eastAsia="zh-CN"/>
        </w:rPr>
      </w:pPr>
      <w:bookmarkStart w:id="16" w:name="_Toc6196"/>
      <w:r>
        <w:rPr>
          <w:rFonts w:hint="eastAsia" w:ascii="楷体" w:hAnsi="楷体" w:eastAsia="楷体" w:cs="楷体"/>
          <w:sz w:val="24"/>
          <w:szCs w:val="24"/>
        </w:rPr>
        <w:t>1、投标供应商单位负责人为同一人或者存在直接控股、管理关系的不同供应商，不得参加同一合同项下的政府采购活动。</w:t>
      </w:r>
    </w:p>
    <w:p>
      <w:pPr>
        <w:spacing w:line="360" w:lineRule="auto"/>
        <w:rPr>
          <w:rFonts w:hint="eastAsia" w:ascii="楷体" w:hAnsi="楷体" w:eastAsia="楷体" w:cs="楷体"/>
          <w:sz w:val="24"/>
          <w:szCs w:val="24"/>
        </w:rPr>
      </w:pPr>
      <w:r>
        <w:rPr>
          <w:rFonts w:hint="eastAsia" w:ascii="楷体" w:hAnsi="楷体" w:eastAsia="楷体" w:cs="楷体"/>
          <w:sz w:val="24"/>
          <w:szCs w:val="24"/>
        </w:rPr>
        <w:t>2、投标供应商被“信用中国”网站（</w:t>
      </w:r>
      <w:r>
        <w:rPr>
          <w:rFonts w:hint="eastAsia" w:ascii="楷体" w:hAnsi="楷体" w:eastAsia="楷体" w:cs="楷体"/>
          <w:sz w:val="24"/>
          <w:szCs w:val="24"/>
        </w:rPr>
        <w:drawing>
          <wp:inline distT="0" distB="0" distL="114300" distR="114300">
            <wp:extent cx="190500" cy="142875"/>
            <wp:effectExtent l="0" t="0" r="0" b="0"/>
            <wp:docPr id="1"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6"/>
                    <pic:cNvPicPr>
                      <a:picLocks noChangeAspect="1"/>
                    </pic:cNvPicPr>
                  </pic:nvPicPr>
                  <pic:blipFill>
                    <a:blip r:embed="rId6"/>
                    <a:stretch>
                      <a:fillRect/>
                    </a:stretch>
                  </pic:blipFill>
                  <pic:spPr>
                    <a:xfrm>
                      <a:off x="0" y="0"/>
                      <a:ext cx="190500" cy="142875"/>
                    </a:xfrm>
                    <a:prstGeom prst="rect">
                      <a:avLst/>
                    </a:prstGeom>
                    <a:noFill/>
                    <a:ln>
                      <a:noFill/>
                    </a:ln>
                  </pic:spPr>
                </pic:pic>
              </a:graphicData>
            </a:graphic>
          </wp:inline>
        </w:drawing>
      </w:r>
      <w:r>
        <w:rPr>
          <w:rFonts w:hint="eastAsia" w:ascii="楷体" w:hAnsi="楷体" w:eastAsia="楷体" w:cs="楷体"/>
          <w:sz w:val="24"/>
          <w:szCs w:val="24"/>
        </w:rPr>
        <w:t>www.creditchina.gov.cn）、“中国政府招标网"(</w:t>
      </w:r>
      <w:r>
        <w:rPr>
          <w:rFonts w:hint="eastAsia" w:ascii="楷体" w:hAnsi="楷体" w:eastAsia="楷体" w:cs="楷体"/>
          <w:sz w:val="24"/>
          <w:szCs w:val="24"/>
        </w:rPr>
        <w:drawing>
          <wp:inline distT="0" distB="0" distL="114300" distR="114300">
            <wp:extent cx="190500" cy="142875"/>
            <wp:effectExtent l="0" t="0" r="0" b="0"/>
            <wp:docPr id="2" name="图片 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IMG_257"/>
                    <pic:cNvPicPr>
                      <a:picLocks noChangeAspect="1"/>
                    </pic:cNvPicPr>
                  </pic:nvPicPr>
                  <pic:blipFill>
                    <a:blip r:embed="rId6"/>
                    <a:stretch>
                      <a:fillRect/>
                    </a:stretch>
                  </pic:blipFill>
                  <pic:spPr>
                    <a:xfrm>
                      <a:off x="0" y="0"/>
                      <a:ext cx="190500" cy="142875"/>
                    </a:xfrm>
                    <a:prstGeom prst="rect">
                      <a:avLst/>
                    </a:prstGeom>
                    <a:noFill/>
                    <a:ln>
                      <a:noFill/>
                    </a:ln>
                  </pic:spPr>
                </pic:pic>
              </a:graphicData>
            </a:graphic>
          </wp:inline>
        </w:drawing>
      </w:r>
      <w:r>
        <w:rPr>
          <w:rFonts w:hint="eastAsia" w:ascii="楷体" w:hAnsi="楷体" w:eastAsia="楷体" w:cs="楷体"/>
          <w:sz w:val="24"/>
          <w:szCs w:val="24"/>
        </w:rPr>
        <w:t>www.ccgp.gov.cn)列入失信被执行人、重大税收违法案件当事人名单、政府招标严重违法失信行为记录名单。</w:t>
      </w:r>
    </w:p>
    <w:p>
      <w:pPr>
        <w:pStyle w:val="40"/>
        <w:numPr>
          <w:ilvl w:val="0"/>
          <w:numId w:val="0"/>
        </w:numPr>
        <w:outlineLvl w:val="9"/>
        <w:rPr>
          <w:rFonts w:hint="eastAsia" w:ascii="楷体" w:hAnsi="楷体" w:eastAsia="楷体" w:cs="楷体"/>
          <w:snapToGrid w:val="0"/>
          <w:kern w:val="0"/>
        </w:rPr>
      </w:pPr>
      <w:bookmarkStart w:id="17" w:name="_Toc5888"/>
      <w:r>
        <w:rPr>
          <w:rFonts w:hint="eastAsia" w:ascii="楷体" w:hAnsi="楷体" w:eastAsia="楷体" w:cs="楷体"/>
          <w:snapToGrid w:val="0"/>
          <w:kern w:val="0"/>
        </w:rPr>
        <w:t>三、磋商文件发布信息及报名要求</w:t>
      </w:r>
      <w:bookmarkEnd w:id="16"/>
      <w:bookmarkEnd w:id="17"/>
    </w:p>
    <w:p>
      <w:pPr>
        <w:snapToGrid w:val="0"/>
        <w:spacing w:line="360" w:lineRule="auto"/>
        <w:ind w:firstLine="480" w:firstLineChars="200"/>
        <w:jc w:val="left"/>
        <w:rPr>
          <w:rFonts w:hint="eastAsia" w:ascii="楷体" w:hAnsi="楷体" w:eastAsia="楷体" w:cs="楷体"/>
          <w:bCs/>
          <w:sz w:val="24"/>
        </w:rPr>
      </w:pPr>
      <w:r>
        <w:rPr>
          <w:rFonts w:hint="eastAsia" w:ascii="楷体" w:hAnsi="楷体" w:eastAsia="楷体" w:cs="楷体"/>
          <w:bCs/>
          <w:sz w:val="24"/>
        </w:rPr>
        <w:t>1、磋商公告在“南京交通职业技术学院采购网</w:t>
      </w:r>
      <w:r>
        <w:rPr>
          <w:rFonts w:hint="eastAsia" w:ascii="楷体" w:hAnsi="楷体" w:eastAsia="楷体" w:cs="楷体"/>
          <w:bCs/>
          <w:w w:val="80"/>
          <w:sz w:val="24"/>
        </w:rPr>
        <w:t>（http://www.njitt.edu.cn/cgw/）”</w:t>
      </w:r>
      <w:r>
        <w:rPr>
          <w:rFonts w:hint="eastAsia" w:ascii="楷体" w:hAnsi="楷体" w:eastAsia="楷体" w:cs="楷体"/>
          <w:bCs/>
          <w:sz w:val="24"/>
        </w:rPr>
        <w:t>发布，供应商如确定参加磋商，须按要求报名。</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2、报名：</w:t>
      </w:r>
      <w:r>
        <w:rPr>
          <w:rFonts w:hint="eastAsia" w:ascii="楷体" w:hAnsi="楷体" w:eastAsia="楷体" w:cs="楷体"/>
          <w:bCs/>
          <w:sz w:val="24"/>
        </w:rPr>
        <w:fldChar w:fldCharType="begin"/>
      </w:r>
      <w:r>
        <w:rPr>
          <w:rFonts w:hint="eastAsia" w:ascii="楷体" w:hAnsi="楷体" w:eastAsia="楷体" w:cs="楷体"/>
          <w:bCs/>
          <w:sz w:val="24"/>
        </w:rPr>
        <w:instrText xml:space="preserve"> HYPERLINK "mailto:凡有意参加投标者，请于2017年7月4日前将投标函发送至邮箱cgb@njitt.edu.cn，采购办不接受没有报名确认的询价文件。" </w:instrText>
      </w:r>
      <w:r>
        <w:rPr>
          <w:rFonts w:hint="eastAsia" w:ascii="楷体" w:hAnsi="楷体" w:eastAsia="楷体" w:cs="楷体"/>
          <w:bCs/>
          <w:sz w:val="24"/>
        </w:rPr>
        <w:fldChar w:fldCharType="separate"/>
      </w:r>
      <w:r>
        <w:rPr>
          <w:rFonts w:hint="eastAsia" w:ascii="楷体" w:hAnsi="楷体" w:eastAsia="楷体" w:cs="楷体"/>
          <w:bCs/>
          <w:sz w:val="24"/>
        </w:rPr>
        <w:t>凡有意参加的响应商，请于</w:t>
      </w:r>
      <w:r>
        <w:rPr>
          <w:rFonts w:hint="eastAsia" w:ascii="楷体" w:hAnsi="楷体" w:eastAsia="楷体" w:cs="楷体"/>
          <w:b/>
          <w:bCs/>
          <w:sz w:val="24"/>
          <w:szCs w:val="24"/>
        </w:rPr>
        <w:t>202</w:t>
      </w:r>
      <w:r>
        <w:rPr>
          <w:rFonts w:hint="eastAsia" w:ascii="楷体" w:hAnsi="楷体" w:eastAsia="楷体" w:cs="楷体"/>
          <w:b/>
          <w:bCs/>
          <w:sz w:val="24"/>
          <w:szCs w:val="24"/>
          <w:lang w:val="en-US" w:eastAsia="zh-CN"/>
        </w:rPr>
        <w:t>1</w:t>
      </w:r>
      <w:r>
        <w:rPr>
          <w:rFonts w:hint="eastAsia" w:ascii="楷体" w:hAnsi="楷体" w:eastAsia="楷体" w:cs="楷体"/>
          <w:b/>
          <w:bCs/>
          <w:sz w:val="24"/>
          <w:szCs w:val="24"/>
        </w:rPr>
        <w:t>年</w:t>
      </w:r>
      <w:r>
        <w:rPr>
          <w:rFonts w:hint="eastAsia" w:ascii="楷体" w:hAnsi="楷体" w:eastAsia="楷体" w:cs="楷体"/>
          <w:b/>
          <w:bCs/>
          <w:sz w:val="24"/>
          <w:szCs w:val="24"/>
          <w:lang w:val="en-US" w:eastAsia="zh-CN"/>
        </w:rPr>
        <w:t>10</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22日上午9点</w:t>
      </w:r>
      <w:r>
        <w:rPr>
          <w:rFonts w:hint="eastAsia" w:ascii="楷体" w:hAnsi="楷体" w:eastAsia="楷体" w:cs="楷体"/>
          <w:bCs/>
          <w:sz w:val="24"/>
        </w:rPr>
        <w:t>前将确认函发送至邮箱cgb@njitt.edu.cn，采购办不接受没有报名确认的响应文件。</w:t>
      </w:r>
      <w:r>
        <w:rPr>
          <w:rFonts w:hint="eastAsia" w:ascii="楷体" w:hAnsi="楷体" w:eastAsia="楷体" w:cs="楷体"/>
          <w:bCs/>
          <w:sz w:val="24"/>
        </w:rPr>
        <w:fldChar w:fldCharType="end"/>
      </w:r>
      <w:r>
        <w:rPr>
          <w:rFonts w:hint="eastAsia" w:ascii="楷体" w:hAnsi="楷体" w:eastAsia="楷体" w:cs="楷体"/>
          <w:bCs/>
          <w:sz w:val="24"/>
        </w:rPr>
        <w:t>邮件主题为公司名称+项目名称。</w:t>
      </w:r>
    </w:p>
    <w:p>
      <w:pPr>
        <w:pStyle w:val="40"/>
        <w:numPr>
          <w:ilvl w:val="0"/>
          <w:numId w:val="0"/>
        </w:numPr>
        <w:outlineLvl w:val="9"/>
        <w:rPr>
          <w:rFonts w:hint="eastAsia" w:ascii="楷体" w:hAnsi="楷体" w:eastAsia="楷体" w:cs="楷体"/>
          <w:snapToGrid w:val="0"/>
          <w:kern w:val="0"/>
        </w:rPr>
      </w:pPr>
      <w:bookmarkStart w:id="18" w:name="_Toc27453"/>
      <w:r>
        <w:rPr>
          <w:rFonts w:hint="eastAsia" w:ascii="楷体" w:hAnsi="楷体" w:eastAsia="楷体" w:cs="楷体"/>
          <w:snapToGrid w:val="0"/>
          <w:kern w:val="0"/>
        </w:rPr>
        <w:t>四、响应文件</w:t>
      </w:r>
      <w:bookmarkEnd w:id="18"/>
      <w:r>
        <w:rPr>
          <w:rFonts w:hint="eastAsia" w:ascii="楷体" w:hAnsi="楷体" w:eastAsia="楷体" w:cs="楷体"/>
          <w:snapToGrid w:val="0"/>
          <w:kern w:val="0"/>
        </w:rPr>
        <w:t xml:space="preserve">  </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1、响应文件的密封及标记要求：</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供应商应将响应文件正本和所有副本分别密封在两个文件袋（箱）中（正本一包，副本一包），并在袋（箱）上标明“正本”、“副本”字样，封口处应加盖骑缝章或授权代表签字。</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2、封面格式为：</w:t>
      </w:r>
    </w:p>
    <w:p>
      <w:pPr>
        <w:snapToGrid w:val="0"/>
        <w:spacing w:line="360" w:lineRule="auto"/>
        <w:ind w:firstLine="420"/>
        <w:rPr>
          <w:rFonts w:hint="eastAsia" w:ascii="楷体" w:hAnsi="楷体" w:eastAsia="楷体" w:cs="楷体"/>
          <w:bCs/>
          <w:sz w:val="24"/>
        </w:rPr>
      </w:pPr>
      <w:r>
        <w:rPr>
          <w:rFonts w:hint="eastAsia" w:ascii="楷体" w:hAnsi="楷体" w:eastAsia="楷体" w:cs="楷体"/>
          <w:bCs/>
          <w:sz w:val="24"/>
        </w:rPr>
        <w:t>（l）采购编号及项目名称：</w:t>
      </w:r>
    </w:p>
    <w:p>
      <w:pPr>
        <w:snapToGrid w:val="0"/>
        <w:spacing w:line="360" w:lineRule="auto"/>
        <w:ind w:firstLine="420"/>
        <w:rPr>
          <w:rFonts w:hint="eastAsia" w:ascii="楷体" w:hAnsi="楷体" w:eastAsia="楷体" w:cs="楷体"/>
          <w:bCs/>
          <w:sz w:val="24"/>
        </w:rPr>
      </w:pPr>
      <w:r>
        <w:rPr>
          <w:rFonts w:hint="eastAsia" w:ascii="楷体" w:hAnsi="楷体" w:eastAsia="楷体" w:cs="楷体"/>
          <w:bCs/>
          <w:sz w:val="24"/>
        </w:rPr>
        <w:t>（2）供应商的名称、地址、联系人、电话和传真：</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3、响应文件正、副本均须胶装，正本份数：1份，副本份数：2份，</w:t>
      </w:r>
      <w:r>
        <w:rPr>
          <w:rFonts w:hint="eastAsia" w:ascii="楷体" w:hAnsi="楷体" w:eastAsia="楷体" w:cs="楷体"/>
          <w:sz w:val="24"/>
          <w:szCs w:val="24"/>
        </w:rPr>
        <w:t>电子文档1份（U盘与正本单独封装）</w:t>
      </w:r>
      <w:r>
        <w:rPr>
          <w:rFonts w:hint="eastAsia" w:ascii="楷体" w:hAnsi="楷体" w:eastAsia="楷体" w:cs="楷体"/>
          <w:bCs/>
          <w:sz w:val="24"/>
        </w:rPr>
        <w:t>。未按要求装订，作废件处理。</w:t>
      </w:r>
    </w:p>
    <w:p>
      <w:pPr>
        <w:snapToGrid w:val="0"/>
        <w:spacing w:line="360" w:lineRule="auto"/>
        <w:ind w:firstLine="480" w:firstLineChars="200"/>
        <w:rPr>
          <w:rFonts w:hint="default" w:ascii="楷体" w:hAnsi="楷体" w:eastAsia="楷体" w:cs="楷体"/>
          <w:bCs/>
          <w:sz w:val="24"/>
          <w:lang w:val="en-US"/>
        </w:rPr>
      </w:pPr>
      <w:r>
        <w:rPr>
          <w:rFonts w:hint="eastAsia" w:ascii="楷体" w:hAnsi="楷体" w:eastAsia="楷体" w:cs="楷体"/>
          <w:bCs/>
          <w:sz w:val="24"/>
        </w:rPr>
        <w:t>4、响应文件接收</w:t>
      </w:r>
      <w:r>
        <w:rPr>
          <w:rFonts w:hint="eastAsia" w:ascii="楷体" w:hAnsi="楷体" w:eastAsia="楷体" w:cs="楷体"/>
          <w:bCs/>
          <w:sz w:val="24"/>
          <w:lang w:eastAsia="zh-CN"/>
        </w:rPr>
        <w:t>截止</w:t>
      </w:r>
      <w:r>
        <w:rPr>
          <w:rFonts w:hint="eastAsia" w:ascii="楷体" w:hAnsi="楷体" w:eastAsia="楷体" w:cs="楷体"/>
          <w:bCs/>
          <w:sz w:val="24"/>
        </w:rPr>
        <w:t>及开启时间：</w:t>
      </w:r>
      <w:r>
        <w:rPr>
          <w:rFonts w:hint="eastAsia" w:ascii="楷体" w:hAnsi="楷体" w:eastAsia="楷体" w:cs="楷体"/>
          <w:b/>
          <w:bCs/>
          <w:sz w:val="24"/>
          <w:szCs w:val="24"/>
        </w:rPr>
        <w:t>202</w:t>
      </w:r>
      <w:r>
        <w:rPr>
          <w:rFonts w:hint="eastAsia" w:ascii="楷体" w:hAnsi="楷体" w:eastAsia="楷体" w:cs="楷体"/>
          <w:b/>
          <w:bCs/>
          <w:sz w:val="24"/>
          <w:szCs w:val="24"/>
          <w:lang w:val="en-US" w:eastAsia="zh-CN"/>
        </w:rPr>
        <w:t>1</w:t>
      </w:r>
      <w:r>
        <w:rPr>
          <w:rFonts w:hint="eastAsia" w:ascii="楷体" w:hAnsi="楷体" w:eastAsia="楷体" w:cs="楷体"/>
          <w:b/>
          <w:bCs/>
          <w:sz w:val="24"/>
          <w:szCs w:val="24"/>
        </w:rPr>
        <w:t>年</w:t>
      </w:r>
      <w:r>
        <w:rPr>
          <w:rFonts w:hint="eastAsia" w:ascii="楷体" w:hAnsi="楷体" w:eastAsia="楷体" w:cs="楷体"/>
          <w:b/>
          <w:bCs/>
          <w:sz w:val="24"/>
          <w:szCs w:val="24"/>
          <w:lang w:val="en-US" w:eastAsia="zh-CN"/>
        </w:rPr>
        <w:t xml:space="preserve"> 10</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 xml:space="preserve"> 26</w:t>
      </w:r>
      <w:bookmarkStart w:id="137" w:name="_GoBack"/>
      <w:bookmarkEnd w:id="137"/>
      <w:r>
        <w:rPr>
          <w:rFonts w:hint="eastAsia" w:ascii="楷体" w:hAnsi="楷体" w:eastAsia="楷体" w:cs="楷体"/>
          <w:b/>
          <w:bCs/>
          <w:sz w:val="24"/>
          <w:szCs w:val="24"/>
        </w:rPr>
        <w:t>日</w:t>
      </w:r>
      <w:r>
        <w:rPr>
          <w:rFonts w:hint="eastAsia" w:ascii="楷体" w:hAnsi="楷体" w:eastAsia="楷体" w:cs="楷体"/>
          <w:b/>
          <w:bCs/>
          <w:sz w:val="24"/>
          <w:szCs w:val="24"/>
          <w:lang w:val="en-US" w:eastAsia="zh-CN"/>
        </w:rPr>
        <w:t xml:space="preserve"> 下午14:30</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5、响应文件接收及开启地点：南京市江宁区龙眠大道629号南京交通职业技术学院弘毅楼217。提交响应文件截止时间过后，采购办组织专家与供应商进行磋商，请供应商法定代表人或其授权委托代表出席。</w:t>
      </w:r>
    </w:p>
    <w:p>
      <w:pPr>
        <w:pStyle w:val="40"/>
        <w:numPr>
          <w:ilvl w:val="0"/>
          <w:numId w:val="0"/>
        </w:numPr>
        <w:outlineLvl w:val="9"/>
        <w:rPr>
          <w:rFonts w:hint="eastAsia" w:ascii="楷体" w:hAnsi="楷体" w:eastAsia="楷体" w:cs="楷体"/>
          <w:snapToGrid w:val="0"/>
          <w:kern w:val="0"/>
        </w:rPr>
      </w:pPr>
      <w:bookmarkStart w:id="19" w:name="_Toc31510"/>
      <w:r>
        <w:rPr>
          <w:rFonts w:hint="eastAsia" w:ascii="楷体" w:hAnsi="楷体" w:eastAsia="楷体" w:cs="楷体"/>
          <w:snapToGrid w:val="0"/>
          <w:kern w:val="0"/>
        </w:rPr>
        <w:t>五、磋商保证金</w:t>
      </w:r>
      <w:bookmarkEnd w:id="19"/>
    </w:p>
    <w:p>
      <w:pPr>
        <w:snapToGrid w:val="0"/>
        <w:spacing w:line="360" w:lineRule="auto"/>
        <w:ind w:firstLine="482" w:firstLineChars="200"/>
        <w:rPr>
          <w:rFonts w:hint="eastAsia" w:ascii="楷体" w:hAnsi="楷体" w:eastAsia="楷体" w:cs="楷体"/>
          <w:bCs/>
          <w:sz w:val="24"/>
        </w:rPr>
      </w:pPr>
      <w:r>
        <w:rPr>
          <w:rFonts w:hint="eastAsia" w:ascii="楷体" w:hAnsi="楷体" w:eastAsia="楷体" w:cs="楷体"/>
          <w:b/>
          <w:bCs w:val="0"/>
          <w:sz w:val="24"/>
          <w:lang w:val="en-US" w:eastAsia="zh-CN"/>
        </w:rPr>
        <w:t>伍仟</w:t>
      </w:r>
      <w:r>
        <w:rPr>
          <w:rFonts w:hint="eastAsia" w:ascii="楷体" w:hAnsi="楷体" w:eastAsia="楷体" w:cs="楷体"/>
          <w:b/>
          <w:bCs w:val="0"/>
          <w:sz w:val="24"/>
        </w:rPr>
        <w:t>元</w:t>
      </w:r>
      <w:r>
        <w:rPr>
          <w:rFonts w:hint="eastAsia" w:ascii="楷体" w:hAnsi="楷体" w:eastAsia="楷体" w:cs="楷体"/>
          <w:bCs/>
          <w:sz w:val="24"/>
        </w:rPr>
        <w:t>圆整(现金信封密封好，现场收取)， 成交后转为履约保证金。</w:t>
      </w:r>
    </w:p>
    <w:p>
      <w:pPr>
        <w:pStyle w:val="40"/>
        <w:numPr>
          <w:ilvl w:val="0"/>
          <w:numId w:val="0"/>
        </w:numPr>
        <w:outlineLvl w:val="9"/>
        <w:rPr>
          <w:rFonts w:ascii="楷体" w:hAnsi="楷体" w:eastAsia="楷体" w:cs="楷体"/>
          <w:snapToGrid w:val="0"/>
          <w:kern w:val="0"/>
        </w:rPr>
      </w:pPr>
      <w:bookmarkStart w:id="20" w:name="_Toc22031"/>
      <w:r>
        <w:rPr>
          <w:rFonts w:hint="eastAsia" w:ascii="楷体" w:hAnsi="楷体" w:eastAsia="楷体" w:cs="楷体"/>
          <w:snapToGrid w:val="0"/>
          <w:kern w:val="0"/>
        </w:rPr>
        <w:t>六</w:t>
      </w:r>
      <w:r>
        <w:rPr>
          <w:rFonts w:ascii="楷体" w:hAnsi="楷体" w:eastAsia="楷体" w:cs="楷体"/>
          <w:snapToGrid w:val="0"/>
          <w:kern w:val="0"/>
        </w:rPr>
        <w:t>、</w:t>
      </w:r>
      <w:r>
        <w:rPr>
          <w:rFonts w:hint="eastAsia" w:ascii="楷体" w:hAnsi="楷体" w:eastAsia="楷体" w:cs="楷体"/>
          <w:snapToGrid w:val="0"/>
          <w:kern w:val="0"/>
        </w:rPr>
        <w:t>采购人</w:t>
      </w:r>
      <w:r>
        <w:rPr>
          <w:rFonts w:ascii="楷体" w:hAnsi="楷体" w:eastAsia="楷体" w:cs="楷体"/>
          <w:snapToGrid w:val="0"/>
          <w:kern w:val="0"/>
        </w:rPr>
        <w:t>联系方式</w:t>
      </w:r>
      <w:bookmarkEnd w:id="20"/>
    </w:p>
    <w:p>
      <w:pPr>
        <w:snapToGrid w:val="0"/>
        <w:spacing w:line="360" w:lineRule="auto"/>
        <w:ind w:firstLine="480" w:firstLineChars="200"/>
        <w:rPr>
          <w:rFonts w:hint="eastAsia" w:ascii="楷体" w:hAnsi="楷体" w:eastAsia="楷体" w:cs="楷体"/>
          <w:bCs/>
          <w:sz w:val="24"/>
          <w:lang w:val="en-US" w:eastAsia="zh-CN"/>
        </w:rPr>
      </w:pPr>
      <w:r>
        <w:rPr>
          <w:rFonts w:hint="eastAsia" w:ascii="楷体" w:hAnsi="楷体" w:eastAsia="楷体" w:cs="楷体"/>
          <w:bCs/>
          <w:sz w:val="24"/>
        </w:rPr>
        <w:t>后勤处（基建办）</w:t>
      </w:r>
      <w:r>
        <w:rPr>
          <w:rFonts w:ascii="楷体" w:hAnsi="楷体" w:eastAsia="楷体" w:cs="楷体"/>
          <w:bCs/>
          <w:sz w:val="24"/>
        </w:rPr>
        <w:t>：</w:t>
      </w:r>
      <w:r>
        <w:rPr>
          <w:rFonts w:hint="eastAsia" w:ascii="楷体" w:hAnsi="楷体" w:eastAsia="楷体" w:cs="楷体"/>
          <w:bCs/>
          <w:sz w:val="24"/>
          <w:lang w:val="en-US" w:eastAsia="zh-CN"/>
        </w:rPr>
        <w:t>张</w:t>
      </w:r>
      <w:r>
        <w:rPr>
          <w:rFonts w:ascii="楷体" w:hAnsi="楷体" w:eastAsia="楷体" w:cs="楷体"/>
          <w:bCs/>
          <w:sz w:val="24"/>
        </w:rPr>
        <w:t xml:space="preserve">老师  </w:t>
      </w:r>
      <w:r>
        <w:rPr>
          <w:rFonts w:hint="eastAsia" w:ascii="楷体" w:hAnsi="楷体" w:eastAsia="楷体" w:cs="楷体"/>
          <w:bCs/>
          <w:sz w:val="24"/>
        </w:rPr>
        <w:t xml:space="preserve">  </w:t>
      </w:r>
      <w:r>
        <w:rPr>
          <w:rFonts w:ascii="楷体" w:hAnsi="楷体" w:eastAsia="楷体" w:cs="楷体"/>
          <w:bCs/>
          <w:sz w:val="24"/>
        </w:rPr>
        <w:t>联系电话： 025</w:t>
      </w:r>
      <w:r>
        <w:rPr>
          <w:rFonts w:hint="eastAsia" w:ascii="楷体" w:hAnsi="楷体" w:eastAsia="楷体" w:cs="楷体"/>
          <w:bCs/>
          <w:sz w:val="24"/>
        </w:rPr>
        <w:t>-</w:t>
      </w:r>
      <w:r>
        <w:rPr>
          <w:rFonts w:ascii="楷体" w:hAnsi="楷体" w:eastAsia="楷体" w:cs="楷体"/>
          <w:bCs/>
          <w:sz w:val="24"/>
        </w:rPr>
        <w:t>86</w:t>
      </w:r>
      <w:r>
        <w:rPr>
          <w:rFonts w:hint="eastAsia" w:ascii="楷体" w:hAnsi="楷体" w:eastAsia="楷体" w:cs="楷体"/>
          <w:bCs/>
          <w:sz w:val="24"/>
          <w:lang w:val="en-US" w:eastAsia="zh-CN"/>
        </w:rPr>
        <w:t>115729</w:t>
      </w:r>
    </w:p>
    <w:p>
      <w:pPr>
        <w:snapToGrid w:val="0"/>
        <w:spacing w:line="360" w:lineRule="auto"/>
        <w:ind w:firstLine="480" w:firstLineChars="200"/>
        <w:rPr>
          <w:rFonts w:hint="default" w:ascii="楷体" w:hAnsi="楷体" w:eastAsia="楷体" w:cs="楷体"/>
          <w:bCs/>
          <w:sz w:val="24"/>
          <w:lang w:val="en-US" w:eastAsia="zh-CN"/>
        </w:rPr>
      </w:pPr>
      <w:r>
        <w:rPr>
          <w:rFonts w:hint="eastAsia" w:ascii="楷体" w:hAnsi="楷体" w:eastAsia="楷体" w:cs="楷体"/>
          <w:bCs/>
          <w:sz w:val="24"/>
        </w:rPr>
        <w:t>采购办：</w:t>
      </w:r>
      <w:r>
        <w:rPr>
          <w:rFonts w:hint="eastAsia" w:ascii="楷体" w:hAnsi="楷体" w:eastAsia="楷体" w:cs="楷体"/>
          <w:bCs/>
          <w:sz w:val="24"/>
          <w:lang w:eastAsia="zh-CN"/>
        </w:rPr>
        <w:t>刘</w:t>
      </w:r>
      <w:r>
        <w:rPr>
          <w:rFonts w:ascii="楷体" w:hAnsi="楷体" w:eastAsia="楷体" w:cs="楷体"/>
          <w:bCs/>
          <w:sz w:val="24"/>
        </w:rPr>
        <w:t>老师</w:t>
      </w:r>
      <w:r>
        <w:rPr>
          <w:rFonts w:hint="eastAsia" w:ascii="楷体" w:hAnsi="楷体" w:eastAsia="楷体" w:cs="楷体"/>
          <w:bCs/>
          <w:sz w:val="24"/>
        </w:rPr>
        <w:t xml:space="preserve">              </w:t>
      </w:r>
      <w:r>
        <w:rPr>
          <w:rFonts w:ascii="楷体" w:hAnsi="楷体" w:eastAsia="楷体" w:cs="楷体"/>
          <w:bCs/>
          <w:sz w:val="24"/>
        </w:rPr>
        <w:t>联系电话： 025-86115</w:t>
      </w:r>
      <w:bookmarkEnd w:id="1"/>
      <w:bookmarkEnd w:id="2"/>
      <w:bookmarkEnd w:id="3"/>
      <w:bookmarkEnd w:id="4"/>
      <w:bookmarkEnd w:id="5"/>
      <w:bookmarkEnd w:id="13"/>
      <w:bookmarkEnd w:id="14"/>
      <w:bookmarkEnd w:id="15"/>
      <w:bookmarkStart w:id="21" w:name="_Toc18049"/>
      <w:bookmarkStart w:id="22" w:name="_Toc3756"/>
      <w:bookmarkStart w:id="23" w:name="_Toc61149549"/>
      <w:bookmarkStart w:id="24" w:name="_Toc14577347"/>
      <w:bookmarkStart w:id="25" w:name="_Toc513029209"/>
      <w:bookmarkStart w:id="26" w:name="_Toc479757207"/>
      <w:bookmarkStart w:id="27" w:name="_Toc324237147"/>
      <w:bookmarkStart w:id="28" w:name="_Toc513029242"/>
      <w:bookmarkStart w:id="29" w:name="_Toc20823314"/>
      <w:bookmarkStart w:id="30" w:name="_Toc120614221"/>
      <w:bookmarkStart w:id="31" w:name="_Toc16938558"/>
      <w:r>
        <w:rPr>
          <w:rFonts w:hint="eastAsia" w:ascii="楷体" w:hAnsi="楷体" w:eastAsia="楷体" w:cs="楷体"/>
          <w:bCs/>
          <w:sz w:val="24"/>
          <w:lang w:val="en-US" w:eastAsia="zh-CN"/>
        </w:rPr>
        <w:t>873</w:t>
      </w:r>
    </w:p>
    <w:p>
      <w:pPr>
        <w:pStyle w:val="43"/>
        <w:spacing w:after="319"/>
        <w:rPr>
          <w:rFonts w:hint="eastAsia" w:ascii="楷体" w:hAnsi="楷体" w:eastAsia="楷体" w:cs="楷体"/>
          <w:sz w:val="40"/>
        </w:rPr>
      </w:pPr>
    </w:p>
    <w:p>
      <w:pPr>
        <w:pStyle w:val="43"/>
        <w:spacing w:after="319"/>
        <w:jc w:val="both"/>
        <w:rPr>
          <w:rFonts w:hint="eastAsia" w:ascii="楷体" w:hAnsi="楷体" w:eastAsia="楷体" w:cs="楷体"/>
          <w:sz w:val="40"/>
        </w:rPr>
      </w:pPr>
    </w:p>
    <w:p>
      <w:pPr>
        <w:pStyle w:val="43"/>
        <w:spacing w:after="319"/>
        <w:rPr>
          <w:rFonts w:hint="eastAsia" w:ascii="楷体" w:hAnsi="楷体" w:eastAsia="楷体" w:cs="楷体"/>
          <w:sz w:val="40"/>
        </w:rPr>
      </w:pPr>
      <w:bookmarkStart w:id="32" w:name="_Toc21764"/>
    </w:p>
    <w:p>
      <w:pPr>
        <w:pStyle w:val="43"/>
        <w:spacing w:after="319"/>
        <w:rPr>
          <w:rFonts w:hint="eastAsia" w:ascii="楷体" w:hAnsi="楷体" w:eastAsia="楷体" w:cs="楷体"/>
          <w:sz w:val="40"/>
        </w:rPr>
      </w:pPr>
    </w:p>
    <w:p>
      <w:pPr>
        <w:pStyle w:val="43"/>
        <w:spacing w:after="319"/>
        <w:rPr>
          <w:rFonts w:hint="eastAsia" w:ascii="楷体" w:hAnsi="楷体" w:eastAsia="楷体" w:cs="楷体"/>
          <w:sz w:val="40"/>
        </w:rPr>
      </w:pPr>
    </w:p>
    <w:p>
      <w:pPr>
        <w:pStyle w:val="43"/>
        <w:spacing w:after="319"/>
        <w:rPr>
          <w:rFonts w:hint="eastAsia" w:ascii="楷体" w:hAnsi="楷体" w:eastAsia="楷体" w:cs="楷体"/>
          <w:sz w:val="40"/>
        </w:rPr>
      </w:pPr>
    </w:p>
    <w:p>
      <w:pPr>
        <w:pStyle w:val="43"/>
        <w:spacing w:after="319"/>
        <w:rPr>
          <w:rFonts w:hint="eastAsia" w:ascii="楷体" w:hAnsi="楷体" w:eastAsia="楷体" w:cs="楷体"/>
          <w:sz w:val="40"/>
        </w:rPr>
      </w:pPr>
      <w:r>
        <w:rPr>
          <w:rFonts w:hint="eastAsia" w:ascii="楷体" w:hAnsi="楷体" w:eastAsia="楷体" w:cs="楷体"/>
          <w:sz w:val="40"/>
        </w:rPr>
        <w:t>第二章  磋商须知</w:t>
      </w:r>
      <w:bookmarkEnd w:id="21"/>
      <w:bookmarkEnd w:id="22"/>
      <w:bookmarkEnd w:id="32"/>
    </w:p>
    <w:p>
      <w:pPr>
        <w:ind w:firstLine="480" w:firstLineChars="200"/>
        <w:jc w:val="center"/>
        <w:rPr>
          <w:rFonts w:ascii="楷体" w:hAnsi="楷体" w:eastAsia="楷体" w:cs="楷体"/>
          <w:sz w:val="24"/>
          <w:szCs w:val="24"/>
        </w:rPr>
      </w:pPr>
      <w:r>
        <w:rPr>
          <w:rFonts w:hint="eastAsia" w:ascii="楷体" w:hAnsi="楷体" w:eastAsia="楷体" w:cs="楷体"/>
          <w:sz w:val="24"/>
          <w:szCs w:val="24"/>
        </w:rPr>
        <w:t>（参加竞争性磋商的供应商以下简称“磋商供应商”）</w:t>
      </w:r>
    </w:p>
    <w:p>
      <w:pPr>
        <w:ind w:firstLine="480" w:firstLineChars="200"/>
        <w:jc w:val="center"/>
        <w:rPr>
          <w:rFonts w:ascii="楷体" w:hAnsi="楷体" w:eastAsia="楷体" w:cs="楷体"/>
          <w:sz w:val="24"/>
          <w:szCs w:val="24"/>
        </w:rPr>
      </w:pPr>
    </w:p>
    <w:bookmarkEnd w:id="23"/>
    <w:bookmarkEnd w:id="24"/>
    <w:bookmarkEnd w:id="25"/>
    <w:p>
      <w:pPr>
        <w:pStyle w:val="40"/>
        <w:numPr>
          <w:ilvl w:val="0"/>
          <w:numId w:val="0"/>
        </w:numPr>
        <w:outlineLvl w:val="9"/>
        <w:rPr>
          <w:rFonts w:hint="eastAsia" w:ascii="楷体" w:hAnsi="楷体" w:eastAsia="楷体" w:cs="楷体"/>
          <w:snapToGrid w:val="0"/>
          <w:kern w:val="0"/>
          <w:lang w:val="zh-CN"/>
        </w:rPr>
      </w:pPr>
      <w:bookmarkStart w:id="33" w:name="_Toc23092"/>
      <w:bookmarkStart w:id="34" w:name="_Toc513029237"/>
      <w:bookmarkStart w:id="35" w:name="_Toc16938553"/>
      <w:bookmarkStart w:id="36" w:name="_Toc20823309"/>
      <w:bookmarkStart w:id="37" w:name="_Toc6739"/>
      <w:bookmarkStart w:id="38" w:name="_Toc16499"/>
      <w:r>
        <w:rPr>
          <w:rFonts w:hint="eastAsia" w:ascii="楷体" w:hAnsi="楷体" w:eastAsia="楷体" w:cs="楷体"/>
          <w:snapToGrid w:val="0"/>
          <w:kern w:val="0"/>
          <w:lang w:val="zh-CN"/>
        </w:rPr>
        <w:t>一、总则</w:t>
      </w:r>
      <w:bookmarkEnd w:id="33"/>
    </w:p>
    <w:p>
      <w:pPr>
        <w:snapToGrid w:val="0"/>
        <w:spacing w:line="360" w:lineRule="auto"/>
        <w:ind w:firstLine="480" w:firstLineChars="200"/>
        <w:rPr>
          <w:rFonts w:hint="eastAsia" w:ascii="楷体" w:hAnsi="楷体" w:eastAsia="楷体" w:cs="楷体"/>
          <w:bCs/>
          <w:sz w:val="24"/>
          <w:lang w:val="zh-CN"/>
        </w:rPr>
      </w:pPr>
      <w:bookmarkStart w:id="39" w:name="_Toc487210474"/>
      <w:r>
        <w:rPr>
          <w:rFonts w:hint="eastAsia" w:ascii="楷体" w:hAnsi="楷体" w:eastAsia="楷体" w:cs="楷体"/>
          <w:bCs/>
          <w:sz w:val="24"/>
          <w:lang w:val="zh-CN"/>
        </w:rPr>
        <w:t>1、适用法律</w:t>
      </w:r>
      <w:bookmarkEnd w:id="39"/>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1.1 《中华人民共和国政府采购法》、《中华人民共和国政府采购法实施条例》、《政府采购非招标方式管理办法》等有关法律、规章和规定等。</w:t>
      </w:r>
    </w:p>
    <w:p>
      <w:pPr>
        <w:snapToGrid w:val="0"/>
        <w:spacing w:line="360" w:lineRule="auto"/>
        <w:ind w:firstLine="480" w:firstLineChars="200"/>
        <w:rPr>
          <w:rFonts w:hint="eastAsia" w:ascii="楷体" w:hAnsi="楷体" w:eastAsia="楷体" w:cs="楷体"/>
          <w:bCs/>
          <w:sz w:val="24"/>
          <w:lang w:val="zh-CN"/>
        </w:rPr>
      </w:pPr>
      <w:bookmarkStart w:id="40" w:name="_Toc487210475"/>
      <w:r>
        <w:rPr>
          <w:rFonts w:hint="eastAsia" w:ascii="楷体" w:hAnsi="楷体" w:eastAsia="楷体" w:cs="楷体"/>
          <w:bCs/>
          <w:sz w:val="24"/>
          <w:lang w:val="zh-CN"/>
        </w:rPr>
        <w:t>2、定义</w:t>
      </w:r>
      <w:bookmarkEnd w:id="40"/>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2.1 “供应商”</w:t>
      </w:r>
      <w:r>
        <w:rPr>
          <w:rFonts w:hint="eastAsia" w:ascii="楷体" w:hAnsi="楷体" w:eastAsia="楷体" w:cs="楷体"/>
          <w:bCs/>
          <w:sz w:val="24"/>
        </w:rPr>
        <w:t>是指参加磋商竞争，并符合采购文件规定资格条件的法人、其他组织或者自然人。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2.2 “服务”指本采购文件中所述产品及相关服务。</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2.3 “用户或使用单位”是指使用服务的单位。</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3、政策功能</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3.1政府采购促进中小企业发展，</w:t>
      </w:r>
      <w:r>
        <w:rPr>
          <w:rFonts w:hint="eastAsia" w:ascii="楷体" w:hAnsi="楷体" w:eastAsia="楷体" w:cs="楷体"/>
          <w:bCs/>
          <w:sz w:val="24"/>
        </w:rPr>
        <w:t>小型、微型企业提供本企业制造的货物、承担的工程或者服务，或者提供其他中小企业制造的货物在评标时将获得优势（本项所称货物不包括使用大型企业注册商标的货物）。参加投标的中小企业，应当提供《中小企业声明函》（“中小企业划型标准”详见政策法规《关于印发中小企业划型标准规定的通知》工信部联企业〔2011〕300号）和供应商所在地的县级以上中小企业主管部门对供应商为小、微型企业的认定证明复印件，如未按要求填写和提供有效证明或相关内容表述不清的，不得享受价格扣除。</w:t>
      </w:r>
    </w:p>
    <w:p>
      <w:pPr>
        <w:pStyle w:val="40"/>
        <w:numPr>
          <w:ilvl w:val="0"/>
          <w:numId w:val="0"/>
        </w:numPr>
        <w:outlineLvl w:val="9"/>
        <w:rPr>
          <w:rFonts w:hint="eastAsia" w:ascii="楷体" w:hAnsi="楷体" w:eastAsia="楷体" w:cs="楷体"/>
          <w:snapToGrid w:val="0"/>
          <w:kern w:val="0"/>
          <w:lang w:val="zh-CN"/>
        </w:rPr>
      </w:pPr>
      <w:bookmarkStart w:id="41" w:name="_Toc28523"/>
      <w:r>
        <w:rPr>
          <w:rFonts w:hint="eastAsia" w:ascii="楷体" w:hAnsi="楷体" w:eastAsia="楷体" w:cs="楷体"/>
          <w:snapToGrid w:val="0"/>
          <w:kern w:val="0"/>
          <w:lang w:val="zh-CN"/>
        </w:rPr>
        <w:t>二、响应文件编制</w:t>
      </w:r>
      <w:bookmarkEnd w:id="41"/>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4</w:t>
      </w:r>
      <w:r>
        <w:rPr>
          <w:rFonts w:hint="eastAsia" w:ascii="楷体" w:hAnsi="楷体" w:eastAsia="楷体" w:cs="楷体"/>
          <w:bCs/>
          <w:sz w:val="24"/>
          <w:lang w:val="zh-CN"/>
        </w:rPr>
        <w:t>、供应商应当按照磋商文件的要求编制响应文件，并对其提交的响应文件真实性、合法性承担法律责任。</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、响应文件的语言、计量单位、货币和编制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.1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.2 供应商所使用的计量单位应为国家法定计量单位。</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.3 供应商应用人民币报价。</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.4 响应文件应字迹清楚、内容齐全、不得涂改。如有修改，修改处须有供应商公章或法定代表人或其授权磋商代表签字。</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.5 响应文件应按照磋商文件规定的顺序，统一用A4规格幅面打印、装订成册并编制目录，由于编排混乱导致响应文件被误读或查找不到，责任由供应商承担。</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.6 供应商应在响应文件中写清相应的项目编号、项目名称、供应商名称、地址、电话、传真等。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、响应文件的组成</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.1</w:t>
      </w:r>
      <w:r>
        <w:rPr>
          <w:rFonts w:hint="eastAsia" w:ascii="楷体" w:hAnsi="楷体" w:eastAsia="楷体" w:cs="楷体"/>
          <w:bCs/>
          <w:sz w:val="24"/>
        </w:rPr>
        <w:t>供应商应当根据磋商文件要求编制响应文件，并根据自己的商务能力、技术水平对磋商文件提出的要求和条件逐条标明是否响应。</w:t>
      </w:r>
      <w:r>
        <w:rPr>
          <w:rFonts w:hint="eastAsia" w:ascii="楷体" w:hAnsi="楷体" w:eastAsia="楷体" w:cs="楷体"/>
          <w:bCs/>
          <w:sz w:val="24"/>
          <w:lang w:val="zh-CN"/>
        </w:rPr>
        <w:t>响应文件由商务部分、技术部分、价格部分，以及其他部分组成。</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.2 响应文件的商务部分。商务部分是证明供应商有资格参加磋商和成交后有能力履行合同的文件，</w:t>
      </w:r>
      <w:r>
        <w:rPr>
          <w:rFonts w:hint="eastAsia" w:ascii="楷体" w:hAnsi="楷体" w:eastAsia="楷体" w:cs="楷体"/>
          <w:bCs/>
          <w:sz w:val="24"/>
        </w:rPr>
        <w:t>这些文件应能满足竞争性磋商采购文件的要求</w:t>
      </w:r>
      <w:r>
        <w:rPr>
          <w:rFonts w:hint="eastAsia" w:ascii="楷体" w:hAnsi="楷体" w:eastAsia="楷体" w:cs="楷体"/>
          <w:bCs/>
          <w:sz w:val="24"/>
          <w:lang w:val="zh-CN"/>
        </w:rPr>
        <w:t>，包括但不限于下列文件，其中加</w:t>
      </w:r>
      <w:r>
        <w:rPr>
          <w:rFonts w:hint="eastAsia" w:ascii="楷体" w:hAnsi="楷体" w:eastAsia="楷体" w:cs="楷体"/>
          <w:bCs/>
          <w:sz w:val="24"/>
        </w:rPr>
        <w:t>※</w:t>
      </w:r>
      <w:r>
        <w:rPr>
          <w:rFonts w:hint="eastAsia" w:ascii="楷体" w:hAnsi="楷体" w:eastAsia="楷体" w:cs="楷体"/>
          <w:bCs/>
          <w:sz w:val="24"/>
          <w:lang w:val="zh-CN"/>
        </w:rPr>
        <w:t>项目不得有缺失或无效：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w:t>
      </w:r>
      <w:r>
        <w:rPr>
          <w:rFonts w:hint="eastAsia" w:ascii="楷体" w:hAnsi="楷体" w:eastAsia="楷体" w:cs="楷体"/>
          <w:bCs/>
          <w:sz w:val="24"/>
          <w:lang w:val="zh-CN"/>
        </w:rPr>
        <w:t>磋商申请及声明；</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w:t>
      </w:r>
      <w:r>
        <w:rPr>
          <w:rFonts w:hint="eastAsia" w:ascii="楷体" w:hAnsi="楷体" w:eastAsia="楷体" w:cs="楷体"/>
          <w:bCs/>
          <w:sz w:val="24"/>
        </w:rPr>
        <w:t>※</w:t>
      </w:r>
      <w:r>
        <w:rPr>
          <w:rFonts w:hint="eastAsia" w:ascii="楷体" w:hAnsi="楷体" w:eastAsia="楷体" w:cs="楷体"/>
          <w:bCs/>
          <w:sz w:val="24"/>
          <w:lang w:val="zh-CN"/>
        </w:rPr>
        <w:t xml:space="preserve">法定代表人授权委托书及委托代理人的身份证明文件的复印件； </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3</w:t>
      </w:r>
      <w:r>
        <w:rPr>
          <w:rFonts w:hint="eastAsia" w:ascii="楷体" w:hAnsi="楷体" w:eastAsia="楷体" w:cs="楷体"/>
          <w:bCs/>
          <w:sz w:val="24"/>
          <w:lang w:val="zh-CN"/>
        </w:rPr>
        <w:t>）</w:t>
      </w:r>
      <w:r>
        <w:rPr>
          <w:rFonts w:hint="eastAsia" w:ascii="楷体" w:hAnsi="楷体" w:eastAsia="楷体" w:cs="楷体"/>
          <w:bCs/>
          <w:sz w:val="24"/>
        </w:rPr>
        <w:t>※第一章磋商邀请中 3.1</w:t>
      </w:r>
      <w:r>
        <w:rPr>
          <w:rFonts w:hint="eastAsia" w:ascii="楷体" w:hAnsi="楷体" w:eastAsia="楷体" w:cs="楷体"/>
          <w:bCs/>
          <w:sz w:val="24"/>
          <w:lang w:val="zh-CN"/>
        </w:rPr>
        <w:t>《中华人民共和国政府采购法》规定的资格条件证明文件；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4</w:t>
      </w:r>
      <w:r>
        <w:rPr>
          <w:rFonts w:hint="eastAsia" w:ascii="楷体" w:hAnsi="楷体" w:eastAsia="楷体" w:cs="楷体"/>
          <w:bCs/>
          <w:sz w:val="24"/>
          <w:lang w:val="zh-CN"/>
        </w:rPr>
        <w:t>）</w:t>
      </w:r>
      <w:r>
        <w:rPr>
          <w:rFonts w:hint="eastAsia" w:ascii="楷体" w:hAnsi="楷体" w:eastAsia="楷体" w:cs="楷体"/>
          <w:bCs/>
          <w:sz w:val="24"/>
        </w:rPr>
        <w:t>※第一章磋商邀请中 3.2 采购人根据采购项目的特殊要求规定的特定条件证明文件；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5</w:t>
      </w:r>
      <w:r>
        <w:rPr>
          <w:rFonts w:hint="eastAsia" w:ascii="楷体" w:hAnsi="楷体" w:eastAsia="楷体" w:cs="楷体"/>
          <w:bCs/>
          <w:sz w:val="24"/>
          <w:lang w:val="zh-CN"/>
        </w:rPr>
        <w:t>）</w:t>
      </w:r>
      <w:r>
        <w:rPr>
          <w:rFonts w:hint="eastAsia" w:ascii="楷体" w:hAnsi="楷体" w:eastAsia="楷体" w:cs="楷体"/>
          <w:bCs/>
          <w:sz w:val="24"/>
        </w:rPr>
        <w:t>《分项报价表》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（6）《商务条款偏离表》；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7</w:t>
      </w:r>
      <w:r>
        <w:rPr>
          <w:rFonts w:hint="eastAsia" w:ascii="楷体" w:hAnsi="楷体" w:eastAsia="楷体" w:cs="楷体"/>
          <w:bCs/>
          <w:sz w:val="24"/>
          <w:lang w:val="zh-CN"/>
        </w:rPr>
        <w:t>）合同草案条款；</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（8）供应商认为需要</w:t>
      </w:r>
      <w:r>
        <w:rPr>
          <w:rFonts w:hint="eastAsia" w:ascii="楷体" w:hAnsi="楷体" w:eastAsia="楷体" w:cs="楷体"/>
          <w:bCs/>
          <w:sz w:val="24"/>
          <w:lang w:val="zh-CN"/>
        </w:rPr>
        <w:t>提供的其他资格证明文件和商务资料。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.3 响应文件的技术部分。技术部分是证明</w:t>
      </w:r>
      <w:r>
        <w:rPr>
          <w:rFonts w:hint="eastAsia" w:ascii="楷体" w:hAnsi="楷体" w:eastAsia="楷体" w:cs="楷体"/>
          <w:bCs/>
          <w:sz w:val="24"/>
        </w:rPr>
        <w:t>供应商提供的服务是合格的，并符合磋商文件要求的证明文件，以及</w:t>
      </w:r>
      <w:r>
        <w:rPr>
          <w:rFonts w:hint="eastAsia" w:ascii="楷体" w:hAnsi="楷体" w:eastAsia="楷体" w:cs="楷体"/>
          <w:bCs/>
          <w:sz w:val="24"/>
          <w:lang w:val="zh-CN"/>
        </w:rPr>
        <w:t>对服务的详细说明，这些文件可以是文字资料、图纸和数据等。提供的服务如与磋商文件要求有不符之处，应说明其差别之所在。包括但不限于下列文件，其中加</w:t>
      </w:r>
      <w:r>
        <w:rPr>
          <w:rFonts w:hint="eastAsia" w:ascii="楷体" w:hAnsi="楷体" w:eastAsia="楷体" w:cs="楷体"/>
          <w:bCs/>
          <w:sz w:val="24"/>
        </w:rPr>
        <w:t>“※”</w:t>
      </w:r>
      <w:r>
        <w:rPr>
          <w:rFonts w:hint="eastAsia" w:ascii="楷体" w:hAnsi="楷体" w:eastAsia="楷体" w:cs="楷体"/>
          <w:bCs/>
          <w:sz w:val="24"/>
          <w:lang w:val="zh-CN"/>
        </w:rPr>
        <w:t>项目不得有缺失或无效：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※货物或服务的详细说明</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w:t>
      </w:r>
      <w:r>
        <w:rPr>
          <w:rFonts w:hint="eastAsia" w:ascii="楷体" w:hAnsi="楷体" w:eastAsia="楷体" w:cs="楷体"/>
          <w:bCs/>
          <w:sz w:val="24"/>
        </w:rPr>
        <w:t>※</w:t>
      </w:r>
      <w:r>
        <w:rPr>
          <w:rFonts w:hint="eastAsia" w:ascii="楷体" w:hAnsi="楷体" w:eastAsia="楷体" w:cs="楷体"/>
          <w:bCs/>
          <w:sz w:val="24"/>
          <w:lang w:val="zh-CN"/>
        </w:rPr>
        <w:t>《技术条款偏离表》；</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（3）</w:t>
      </w:r>
      <w:r>
        <w:rPr>
          <w:rFonts w:hint="eastAsia" w:ascii="楷体" w:hAnsi="楷体" w:eastAsia="楷体" w:cs="楷体"/>
          <w:bCs/>
          <w:sz w:val="24"/>
        </w:rPr>
        <w:t>※《</w:t>
      </w:r>
      <w:r>
        <w:rPr>
          <w:rFonts w:hint="eastAsia" w:ascii="楷体" w:hAnsi="楷体" w:eastAsia="楷体" w:cs="楷体"/>
          <w:bCs/>
          <w:sz w:val="24"/>
          <w:lang w:val="zh-CN"/>
        </w:rPr>
        <w:t>磋商项目主要产品一览表</w:t>
      </w:r>
      <w:r>
        <w:rPr>
          <w:rFonts w:hint="eastAsia" w:ascii="楷体" w:hAnsi="楷体" w:eastAsia="楷体" w:cs="楷体"/>
          <w:bCs/>
          <w:sz w:val="24"/>
        </w:rPr>
        <w:t>》（如果本项目具有产品的话必须填写）；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（4）《供货一览表》；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（5）货物安装、验收标准、货物技术资料；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（6）项目集成（实施）方案；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服务承诺；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（8）供应商认为需要</w:t>
      </w:r>
      <w:r>
        <w:rPr>
          <w:rFonts w:hint="eastAsia" w:ascii="楷体" w:hAnsi="楷体" w:eastAsia="楷体" w:cs="楷体"/>
          <w:bCs/>
          <w:sz w:val="24"/>
          <w:lang w:val="zh-CN"/>
        </w:rPr>
        <w:t>提供的其他技术资料。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.4 响应文件的价格部分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（1）价格部分是对服务价格构成的说明，磋商文件如没有特别说明的话，对每一项服务仅接受一个价格。</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（2）报价应包含完成本服务项目发生的所有含税费用、支付给员工的工资和国家强制缴纳的各种社会保障资金</w:t>
      </w:r>
      <w:r>
        <w:rPr>
          <w:rFonts w:hint="eastAsia" w:ascii="楷体" w:hAnsi="楷体" w:eastAsia="楷体" w:cs="楷体"/>
          <w:bCs/>
          <w:sz w:val="24"/>
        </w:rPr>
        <w:t>，以及供应商认为需要的其他费用等。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（3）供应商应充分考虑到市场价格变动，以及项目实施过程中的不可预见因素，一旦成交，总价格不变。如果有漏项，视同让利。</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（4）经磋商后，如果成交价高于或低于供应商在响应文件首次报价的，分项报价同比例调整。</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.5 响应文件的其他部分。其他部分由供应商根据编制响应文件需要提供的其他相关文件。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、磋商保证金</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.1 供应商应按照要求提交磋商保证金，并作为其响应文件的一部分。磋商保证金是为了保护采购人免遭因供应商的行为而蒙受的损失，采购办在因供应商的行为受到损害时，磋商保证金将不予退还。</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w:t>
      </w:r>
      <w:r>
        <w:rPr>
          <w:rFonts w:hint="eastAsia" w:ascii="楷体" w:hAnsi="楷体" w:eastAsia="楷体" w:cs="楷体"/>
          <w:bCs/>
          <w:sz w:val="24"/>
        </w:rPr>
        <w:t>2</w:t>
      </w:r>
      <w:r>
        <w:rPr>
          <w:rFonts w:hint="eastAsia" w:ascii="楷体" w:hAnsi="楷体" w:eastAsia="楷体" w:cs="楷体"/>
          <w:bCs/>
          <w:sz w:val="24"/>
          <w:lang w:val="zh-CN"/>
        </w:rPr>
        <w:t xml:space="preserve"> 下列任何情况发生时，磋商保证金不予退还：</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（1）成交通知书发出后三十日内，成交供应商未与采购人签订合同的；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（2）提供虚假材料谋取成交的；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（3）经查实与采购人、其他供应商或者采购办恶意串通的等。</w:t>
      </w:r>
    </w:p>
    <w:p>
      <w:pPr>
        <w:pStyle w:val="40"/>
        <w:numPr>
          <w:ilvl w:val="0"/>
          <w:numId w:val="0"/>
        </w:numPr>
        <w:outlineLvl w:val="9"/>
        <w:rPr>
          <w:rFonts w:hint="eastAsia" w:ascii="楷体" w:hAnsi="楷体" w:eastAsia="楷体" w:cs="楷体"/>
          <w:snapToGrid w:val="0"/>
          <w:kern w:val="0"/>
          <w:lang w:val="zh-CN"/>
        </w:rPr>
      </w:pPr>
      <w:bookmarkStart w:id="42" w:name="_Toc487210477"/>
      <w:bookmarkStart w:id="43" w:name="_Toc163"/>
      <w:r>
        <w:rPr>
          <w:rFonts w:hint="eastAsia" w:ascii="楷体" w:hAnsi="楷体" w:eastAsia="楷体" w:cs="楷体"/>
          <w:snapToGrid w:val="0"/>
          <w:kern w:val="0"/>
          <w:lang w:val="zh-CN"/>
        </w:rPr>
        <w:t>三、响应文件签署与提交</w:t>
      </w:r>
      <w:bookmarkEnd w:id="42"/>
      <w:bookmarkEnd w:id="43"/>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、响应文件签署</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.1 响应文件应由供应商法定代表人或授权代表签字，并加盖公章。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.2供应商应当在磋商文件要求提交响应文件的截止时间前，将响应文件密封送达指定地点。</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.3 有下列情形之一的响应文件将拒收：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（1）未按竞争性磋商邀请规定的数额和办法交纳磋商保证金的；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（2）在磋商文件要求提交响应文件的截止时间之后送达的等。</w:t>
      </w:r>
    </w:p>
    <w:p>
      <w:pPr>
        <w:pStyle w:val="40"/>
        <w:numPr>
          <w:ilvl w:val="0"/>
          <w:numId w:val="0"/>
        </w:numPr>
        <w:outlineLvl w:val="9"/>
        <w:rPr>
          <w:rFonts w:hint="eastAsia" w:ascii="楷体" w:hAnsi="楷体" w:eastAsia="楷体" w:cs="楷体"/>
          <w:snapToGrid w:val="0"/>
          <w:kern w:val="0"/>
          <w:lang w:val="zh-CN"/>
        </w:rPr>
      </w:pPr>
      <w:bookmarkStart w:id="44" w:name="_Toc23763"/>
      <w:r>
        <w:rPr>
          <w:rFonts w:hint="eastAsia" w:ascii="楷体" w:hAnsi="楷体" w:eastAsia="楷体" w:cs="楷体"/>
          <w:snapToGrid w:val="0"/>
          <w:kern w:val="0"/>
          <w:lang w:val="zh-CN"/>
        </w:rPr>
        <w:t>四、磋商</w:t>
      </w:r>
      <w:bookmarkEnd w:id="44"/>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9</w:t>
      </w:r>
      <w:r>
        <w:rPr>
          <w:rFonts w:hint="eastAsia" w:ascii="楷体" w:hAnsi="楷体" w:eastAsia="楷体" w:cs="楷体"/>
          <w:bCs/>
          <w:sz w:val="24"/>
          <w:lang w:val="zh-CN"/>
        </w:rPr>
        <w:t>、联合体</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9.1 两个以上的自然人、法人或者其他组织可以组成一个联合体，以一个供应商的身份共同参加政府采购。</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9.2 鼓励大中型企业和其他自然人、法人或者其他组织与小型、微型企业组成联合体共同参加非专门面向中小企业的政府采购活动。</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9.3 以联合体形式参加采购的，联合体各方均应当符合政府采购法第二十二条第一款规定的条件；采购人根据采购项目的特殊要求规定供应商特定条件的，联合体各方中至少应当有一方符合采购人规定的特定条件。由同一专业的供应商组成的联合体，联合体中有同类资质的供应商按照联合体分工承担相同工作的，按照资质等级较低的供应商确定资质等级，并以响应全权代表方的应答材料作为商务评审的依据。由不同专业的供应商组成联合体，首先以响应全权代表方的应答材料作为认定资质以及商务评审的依据，涉及行业专属的资质，按照所属行业对应的供应商的应答材料确定。</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9.4 联合体各方之间应当签订联合体协议，明确约定联合体各方承担的工作和相应的责任，并将联合体协议连同响应文件一并提交。</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9.5 以联合体形式参加政府采购活动的，联合体各方不得再单独参加或者与其他供应商另外组成联合体参加同一合同项下的政府采购活动。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、磋商组织</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.1 在提交响应文件时间截止后，采购办在规定的时间和地点组织磋商小组分别与供应商进行磋商。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.2 磋商工作由采购办负责组织，具体磋商事务由依法组建的磋商小组负责。</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、磋商程序</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.1 磋商小组评审供应商所递交的响应文件，</w:t>
      </w:r>
      <w:r>
        <w:rPr>
          <w:rFonts w:hint="eastAsia" w:ascii="楷体" w:hAnsi="楷体" w:eastAsia="楷体" w:cs="楷体"/>
          <w:bCs/>
          <w:sz w:val="24"/>
        </w:rPr>
        <w:t>并根据磋商文件规定的程序、评定成交的标准等事项与实质性响应磋商文件要求的供应商进行磋商。未实质性响应磋商文件的响应文件按无效处理，磋商小组应将告知有关供应商。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.2 磋商小组所有成员集中与单一供应商分别进行磋商，所有参加磋商的供应商均有同等的磋商机会。</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.3 磋商过程中，磋商小组根据磋商文件和磋商情况可能实质性变动采购需求中的技术、服务要求以及合同草案条款。实质性变动是磋商文件的有效组成部分，磋商小组将以书面形式通知所有参加磋商的供应商。用“★”加注或特别说明的内容为实质性要求。</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.4 供应商应当按照磋商文件的变动情况和磋商小组的要求重新提交响应文件，并由其法定代表人或授权代表签字或者加盖公章。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.5 磋商结束后，磋商小组将要求所有继续参加磋商的供应商在规定时间内提交最后报价。最后报价由其法定代表人或授权代表签字或者加盖公章，最后报价是供应商响应文件的有效组成部分。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.6 出现下列情形之一的响应文件按照无效处理：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w:t>
      </w:r>
      <w:r>
        <w:rPr>
          <w:rFonts w:hint="eastAsia" w:ascii="楷体" w:hAnsi="楷体" w:eastAsia="楷体" w:cs="楷体"/>
          <w:bCs/>
          <w:sz w:val="24"/>
          <w:lang w:val="zh-CN"/>
        </w:rPr>
        <w:t>未按竞争性磋商邀请规定的数额和办法交纳磋商保证金的；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（2）不具备磋商文件中规定资格条件的；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（3）未实质性响应磋商文件要求的；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（4）</w:t>
      </w:r>
      <w:r>
        <w:rPr>
          <w:rFonts w:hint="eastAsia" w:ascii="楷体" w:hAnsi="楷体" w:eastAsia="楷体" w:cs="楷体"/>
          <w:bCs/>
          <w:sz w:val="24"/>
          <w:lang w:val="zh-CN"/>
        </w:rPr>
        <w:t>没有逐一说明提供产品名称、品牌、规格型号、产地、技术参数和服务响应，而是直接拷贝采购文件技术要求的；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（5）</w:t>
      </w:r>
      <w:r>
        <w:rPr>
          <w:rFonts w:hint="eastAsia" w:ascii="楷体" w:hAnsi="楷体" w:eastAsia="楷体" w:cs="楷体"/>
          <w:bCs/>
          <w:sz w:val="24"/>
          <w:lang w:val="zh-CN"/>
        </w:rPr>
        <w:t>报价低于完成本服务项目发生的所有含税费用、支付给员工的工资（不得低于供应商所在地最低工资标准）和国家强制缴纳的各种社会保障资金</w:t>
      </w:r>
      <w:r>
        <w:rPr>
          <w:rFonts w:hint="eastAsia" w:ascii="楷体" w:hAnsi="楷体" w:eastAsia="楷体" w:cs="楷体"/>
          <w:bCs/>
          <w:sz w:val="24"/>
        </w:rPr>
        <w:t>、公积金，以及供应商认为需要的其他费用等。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不符合法律、法规和磋商文件规定的其他实质性要求的。</w:t>
      </w:r>
    </w:p>
    <w:p>
      <w:pPr>
        <w:snapToGrid w:val="0"/>
        <w:spacing w:line="360" w:lineRule="auto"/>
        <w:ind w:firstLine="480" w:firstLineChars="200"/>
        <w:rPr>
          <w:rFonts w:hint="eastAsia" w:ascii="楷体" w:hAnsi="楷体" w:eastAsia="楷体" w:cs="楷体"/>
          <w:bCs/>
          <w:sz w:val="24"/>
        </w:rPr>
      </w:pPr>
      <w:bookmarkStart w:id="45" w:name="_Toc487210478"/>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 xml:space="preserve">.8 </w:t>
      </w:r>
      <w:r>
        <w:rPr>
          <w:rFonts w:hint="eastAsia" w:ascii="楷体" w:hAnsi="楷体" w:eastAsia="楷体" w:cs="楷体"/>
          <w:bCs/>
          <w:sz w:val="24"/>
        </w:rPr>
        <w:t>出现下列情形之一的，磋商终止：</w:t>
      </w:r>
      <w:bookmarkEnd w:id="45"/>
    </w:p>
    <w:p>
      <w:pPr>
        <w:snapToGrid w:val="0"/>
        <w:spacing w:line="360" w:lineRule="auto"/>
        <w:ind w:firstLine="480" w:firstLineChars="200"/>
        <w:rPr>
          <w:rFonts w:hint="eastAsia" w:ascii="楷体" w:hAnsi="楷体" w:eastAsia="楷体" w:cs="楷体"/>
          <w:bCs/>
          <w:sz w:val="24"/>
          <w:lang w:val="zh-CN"/>
        </w:rPr>
      </w:pPr>
      <w:bookmarkStart w:id="46" w:name="_Toc487210479"/>
      <w:r>
        <w:rPr>
          <w:rFonts w:hint="eastAsia" w:ascii="楷体" w:hAnsi="楷体" w:eastAsia="楷体" w:cs="楷体"/>
          <w:bCs/>
          <w:sz w:val="24"/>
          <w:lang w:val="zh-CN"/>
        </w:rPr>
        <w:t>（1）因情况变化，不再符合规定的竞争性磋商采购方式适用情形的；</w:t>
      </w:r>
      <w:bookmarkEnd w:id="46"/>
    </w:p>
    <w:p>
      <w:pPr>
        <w:snapToGrid w:val="0"/>
        <w:spacing w:line="360" w:lineRule="auto"/>
        <w:ind w:firstLine="480" w:firstLineChars="200"/>
        <w:rPr>
          <w:rFonts w:hint="eastAsia" w:ascii="楷体" w:hAnsi="楷体" w:eastAsia="楷体" w:cs="楷体"/>
          <w:bCs/>
          <w:sz w:val="24"/>
          <w:lang w:val="zh-CN"/>
        </w:rPr>
      </w:pPr>
      <w:bookmarkStart w:id="47" w:name="_Toc487210480"/>
      <w:r>
        <w:rPr>
          <w:rFonts w:hint="eastAsia" w:ascii="楷体" w:hAnsi="楷体" w:eastAsia="楷体" w:cs="楷体"/>
          <w:bCs/>
          <w:sz w:val="24"/>
          <w:lang w:val="zh-CN"/>
        </w:rPr>
        <w:t>（2）所有供应商的响应文件被磋商小组认定为无效的；</w:t>
      </w:r>
      <w:bookmarkEnd w:id="47"/>
    </w:p>
    <w:p>
      <w:pPr>
        <w:snapToGrid w:val="0"/>
        <w:spacing w:line="360" w:lineRule="auto"/>
        <w:ind w:firstLine="480" w:firstLineChars="200"/>
        <w:rPr>
          <w:rFonts w:hint="eastAsia" w:ascii="楷体" w:hAnsi="楷体" w:eastAsia="楷体" w:cs="楷体"/>
          <w:bCs/>
          <w:sz w:val="24"/>
          <w:lang w:val="zh-CN"/>
        </w:rPr>
      </w:pPr>
      <w:bookmarkStart w:id="48" w:name="_Toc487210481"/>
      <w:r>
        <w:rPr>
          <w:rFonts w:hint="eastAsia" w:ascii="楷体" w:hAnsi="楷体" w:eastAsia="楷体" w:cs="楷体"/>
          <w:bCs/>
          <w:sz w:val="24"/>
          <w:lang w:val="zh-CN"/>
        </w:rPr>
        <w:t>（3）出现影响采购公正的违法、违规行为的；</w:t>
      </w:r>
      <w:bookmarkEnd w:id="48"/>
    </w:p>
    <w:p>
      <w:pPr>
        <w:snapToGrid w:val="0"/>
        <w:spacing w:line="360" w:lineRule="auto"/>
        <w:ind w:firstLine="480" w:firstLineChars="200"/>
        <w:rPr>
          <w:rFonts w:hint="eastAsia" w:ascii="楷体" w:hAnsi="楷体" w:eastAsia="楷体" w:cs="楷体"/>
          <w:bCs/>
          <w:sz w:val="24"/>
          <w:lang w:val="zh-CN"/>
        </w:rPr>
      </w:pPr>
      <w:bookmarkStart w:id="49" w:name="_Toc487210482"/>
      <w:r>
        <w:rPr>
          <w:rFonts w:hint="eastAsia" w:ascii="楷体" w:hAnsi="楷体" w:eastAsia="楷体" w:cs="楷体"/>
          <w:bCs/>
          <w:sz w:val="24"/>
          <w:lang w:val="zh-CN"/>
        </w:rPr>
        <w:t>（4）供应商的最终报价超过采购预算的；</w:t>
      </w:r>
      <w:bookmarkEnd w:id="49"/>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（5）因重大变故，采购任务取消的；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（6）采购人需求发生重大变化暂时不能确定或供应商提供的服务不能满足需求等。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、评定成交方法和标准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.1采用综合评分法。即在最大限度地满足竞争性磋商文件实质性要求前提下，按照磋商文件中规定的各项因素进行综合评审后，以评审总得分最高的供应商作为成交候选供应商或者成交供应商的评审方法。</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.2 综合评审的主要因素是：价格、服务参数响应情况</w:t>
      </w:r>
      <w:r>
        <w:rPr>
          <w:rFonts w:hint="eastAsia" w:ascii="楷体" w:hAnsi="楷体" w:eastAsia="楷体" w:cs="楷体"/>
          <w:bCs/>
          <w:sz w:val="24"/>
        </w:rPr>
        <w:t>、维保方案</w:t>
      </w:r>
      <w:r>
        <w:rPr>
          <w:rFonts w:hint="eastAsia" w:ascii="楷体" w:hAnsi="楷体" w:eastAsia="楷体" w:cs="楷体"/>
          <w:bCs/>
          <w:sz w:val="24"/>
          <w:lang w:val="zh-CN"/>
        </w:rPr>
        <w:t>、人员配置及服务承诺等、供应商履约能力及资信情况等。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.3</w:t>
      </w:r>
      <w:r>
        <w:rPr>
          <w:rFonts w:hint="eastAsia" w:ascii="楷体" w:hAnsi="楷体" w:eastAsia="楷体" w:cs="楷体"/>
          <w:bCs/>
          <w:sz w:val="24"/>
        </w:rPr>
        <w:t>评审标准详见文件第三章。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、确定成交供应商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.1在综合比较与评价后按照得分高低顺序对供应商进行排列。</w:t>
      </w:r>
      <w:r>
        <w:rPr>
          <w:rFonts w:hint="eastAsia" w:ascii="楷体" w:hAnsi="楷体" w:eastAsia="楷体" w:cs="楷体"/>
          <w:bCs/>
          <w:sz w:val="24"/>
        </w:rPr>
        <w:t>得分相同的，按报价由低到高顺序排列。得分且报价相同的，按技术指标优劣顺序排列。</w:t>
      </w:r>
      <w:r>
        <w:rPr>
          <w:rFonts w:hint="eastAsia" w:ascii="楷体" w:hAnsi="楷体" w:eastAsia="楷体" w:cs="楷体"/>
          <w:bCs/>
          <w:sz w:val="24"/>
          <w:lang w:val="zh-CN"/>
        </w:rPr>
        <w:t>磋商小组将综合排名第一的供应商确定为成交供应商。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.2 成交供应商确定后，将</w:t>
      </w:r>
      <w:r>
        <w:rPr>
          <w:rFonts w:hint="eastAsia" w:ascii="楷体" w:hAnsi="楷体" w:eastAsia="楷体" w:cs="楷体"/>
          <w:bCs/>
          <w:sz w:val="24"/>
        </w:rPr>
        <w:t>在学院采购网上发布成交公示。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.3 成交通知书对采购人和成交供应商具有同等法律效力。</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13.4采购人对未成交的供应商不作未成交原因的解释。</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13.5 所有响应文件都将作为档案保存，不论成交与否，采购办均不退回。</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4</w:t>
      </w:r>
      <w:r>
        <w:rPr>
          <w:rFonts w:hint="eastAsia" w:ascii="楷体" w:hAnsi="楷体" w:eastAsia="楷体" w:cs="楷体"/>
          <w:bCs/>
          <w:sz w:val="24"/>
          <w:lang w:val="zh-CN"/>
        </w:rPr>
        <w:t>、</w:t>
      </w:r>
      <w:r>
        <w:rPr>
          <w:rFonts w:hint="eastAsia" w:ascii="楷体" w:hAnsi="楷体" w:eastAsia="楷体" w:cs="楷体"/>
          <w:bCs/>
          <w:sz w:val="24"/>
        </w:rPr>
        <w:t>编写评审报告</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14.1 磋商小组根据磋商过程和结果填写评审报告。</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、签订合同</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15</w:t>
      </w:r>
      <w:r>
        <w:rPr>
          <w:rFonts w:hint="eastAsia" w:ascii="楷体" w:hAnsi="楷体" w:eastAsia="楷体" w:cs="楷体"/>
          <w:bCs/>
          <w:sz w:val="24"/>
          <w:lang w:val="zh-CN"/>
        </w:rPr>
        <w:t>.</w:t>
      </w:r>
      <w:r>
        <w:rPr>
          <w:rFonts w:hint="eastAsia" w:ascii="楷体" w:hAnsi="楷体" w:eastAsia="楷体" w:cs="楷体"/>
          <w:bCs/>
          <w:sz w:val="24"/>
        </w:rPr>
        <w:t>1 成交供应商应当</w:t>
      </w:r>
      <w:r>
        <w:rPr>
          <w:rFonts w:hint="eastAsia" w:ascii="楷体" w:hAnsi="楷体" w:eastAsia="楷体" w:cs="楷体"/>
          <w:bCs/>
          <w:sz w:val="24"/>
          <w:lang w:val="zh-CN"/>
        </w:rPr>
        <w:t>自成交通知书发出之日起三十日内，</w:t>
      </w:r>
      <w:r>
        <w:rPr>
          <w:rFonts w:hint="eastAsia" w:ascii="楷体" w:hAnsi="楷体" w:eastAsia="楷体" w:cs="楷体"/>
          <w:bCs/>
          <w:sz w:val="24"/>
        </w:rPr>
        <w:t>与采购人签订政府采购合同，所签订的合同不得对磋商文件和响应文件作实质性修改。</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15</w:t>
      </w:r>
      <w:r>
        <w:rPr>
          <w:rFonts w:hint="eastAsia" w:ascii="楷体" w:hAnsi="楷体" w:eastAsia="楷体" w:cs="楷体"/>
          <w:bCs/>
          <w:sz w:val="24"/>
          <w:lang w:val="zh-CN"/>
        </w:rPr>
        <w:t xml:space="preserve">.2 </w:t>
      </w:r>
      <w:r>
        <w:rPr>
          <w:rFonts w:hint="eastAsia" w:ascii="楷体" w:hAnsi="楷体" w:eastAsia="楷体" w:cs="楷体"/>
          <w:bCs/>
          <w:sz w:val="24"/>
        </w:rPr>
        <w:t>采购人不得向成交供应商提出任何不合理的要求作为签订合同的条件，不得与成交供应商私下订立背离合同实质性内容的协议。</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.3</w:t>
      </w:r>
      <w:r>
        <w:rPr>
          <w:rFonts w:hint="eastAsia" w:ascii="楷体" w:hAnsi="楷体" w:eastAsia="楷体" w:cs="楷体"/>
          <w:bCs/>
          <w:sz w:val="24"/>
        </w:rPr>
        <w:t xml:space="preserve"> 除不可抗力等因素外，</w:t>
      </w:r>
      <w:r>
        <w:rPr>
          <w:rFonts w:hint="eastAsia" w:ascii="楷体" w:hAnsi="楷体" w:eastAsia="楷体" w:cs="楷体"/>
          <w:bCs/>
          <w:sz w:val="24"/>
          <w:lang w:val="zh-CN"/>
        </w:rPr>
        <w:t>成交通知书发出后，采购人改变成交结果，或者成交供应商拒绝签订政府采购合同的，应当承担相应的法律责任。</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 xml:space="preserve">.4 </w:t>
      </w:r>
      <w:r>
        <w:rPr>
          <w:rFonts w:hint="eastAsia" w:ascii="楷体" w:hAnsi="楷体" w:eastAsia="楷体" w:cs="楷体"/>
          <w:bCs/>
          <w:sz w:val="24"/>
        </w:rPr>
        <w:t>成交供应商除发生法律规定的不能预见、不能避免并不能克服的客观情况外不得放弃或拒绝签订合同的。放弃或拒绝签订合同的，财政部门视情将其列入不良行为名单，在一至三年内不得参加江苏省政府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.5 成交供应商拒绝签订政府采购合同的，</w:t>
      </w:r>
      <w:r>
        <w:rPr>
          <w:rFonts w:hint="eastAsia" w:ascii="楷体" w:hAnsi="楷体" w:eastAsia="楷体" w:cs="楷体"/>
          <w:bCs/>
          <w:sz w:val="24"/>
        </w:rPr>
        <w:t>或因不可抗力或者自身原因不能履行政府采购合同的，</w:t>
      </w:r>
      <w:r>
        <w:rPr>
          <w:rFonts w:hint="eastAsia" w:ascii="楷体" w:hAnsi="楷体" w:eastAsia="楷体" w:cs="楷体"/>
          <w:bCs/>
          <w:sz w:val="24"/>
          <w:lang w:val="zh-CN"/>
        </w:rPr>
        <w:t>采购人可以视情与排位在成交供应商之后第一位的成交候选供应商签订政府采购合同，也可以重新开展采购活动。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.6 政府采购合同履行中，采购人需追加与合同标的相同的服务的，在不改变合同其他条款的前提下，可以与供应商协商签订补充合同，但所有补充合同的采购金额不得超过原合同采购金额的百分之十。</w:t>
      </w:r>
    </w:p>
    <w:p>
      <w:pPr>
        <w:pStyle w:val="40"/>
        <w:numPr>
          <w:ilvl w:val="0"/>
          <w:numId w:val="0"/>
        </w:numPr>
        <w:outlineLvl w:val="9"/>
        <w:rPr>
          <w:rFonts w:hint="eastAsia" w:ascii="楷体" w:hAnsi="楷体" w:eastAsia="楷体" w:cs="楷体"/>
          <w:snapToGrid w:val="0"/>
          <w:kern w:val="0"/>
          <w:lang w:val="zh-CN"/>
        </w:rPr>
      </w:pPr>
      <w:bookmarkStart w:id="50" w:name="_Toc20846"/>
      <w:bookmarkStart w:id="51" w:name="_Toc487210483"/>
      <w:r>
        <w:rPr>
          <w:rFonts w:hint="eastAsia" w:ascii="楷体" w:hAnsi="楷体" w:eastAsia="楷体" w:cs="楷体"/>
          <w:snapToGrid w:val="0"/>
          <w:kern w:val="0"/>
        </w:rPr>
        <w:t>五</w:t>
      </w:r>
      <w:r>
        <w:rPr>
          <w:rFonts w:hint="eastAsia" w:ascii="楷体" w:hAnsi="楷体" w:eastAsia="楷体" w:cs="楷体"/>
          <w:snapToGrid w:val="0"/>
          <w:kern w:val="0"/>
          <w:lang w:val="zh-CN"/>
        </w:rPr>
        <w:t>、询问、质疑、投诉和诚实信用</w:t>
      </w:r>
      <w:bookmarkEnd w:id="50"/>
      <w:bookmarkEnd w:id="51"/>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6</w:t>
      </w:r>
      <w:r>
        <w:rPr>
          <w:rFonts w:hint="eastAsia" w:ascii="楷体" w:hAnsi="楷体" w:eastAsia="楷体" w:cs="楷体"/>
          <w:bCs/>
          <w:sz w:val="24"/>
          <w:lang w:val="zh-CN"/>
        </w:rPr>
        <w:t>、询问</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6</w:t>
      </w:r>
      <w:r>
        <w:rPr>
          <w:rFonts w:hint="eastAsia" w:ascii="楷体" w:hAnsi="楷体" w:eastAsia="楷体" w:cs="楷体"/>
          <w:bCs/>
          <w:sz w:val="24"/>
          <w:lang w:val="zh-CN"/>
        </w:rPr>
        <w:t>.1 供应商对采购活动事项有疑问的，可以向</w:t>
      </w:r>
      <w:r>
        <w:rPr>
          <w:rFonts w:hint="eastAsia" w:ascii="楷体" w:hAnsi="楷体" w:eastAsia="楷体" w:cs="楷体"/>
          <w:bCs/>
          <w:sz w:val="24"/>
        </w:rPr>
        <w:t>采购办</w:t>
      </w:r>
      <w:r>
        <w:rPr>
          <w:rFonts w:hint="eastAsia" w:ascii="楷体" w:hAnsi="楷体" w:eastAsia="楷体" w:cs="楷体"/>
          <w:bCs/>
          <w:sz w:val="24"/>
          <w:lang w:val="zh-CN"/>
        </w:rPr>
        <w:t>提出询问，</w:t>
      </w:r>
      <w:r>
        <w:rPr>
          <w:rFonts w:hint="eastAsia" w:ascii="楷体" w:hAnsi="楷体" w:eastAsia="楷体" w:cs="楷体"/>
          <w:bCs/>
          <w:sz w:val="24"/>
        </w:rPr>
        <w:t>采购办</w:t>
      </w:r>
      <w:r>
        <w:rPr>
          <w:rFonts w:hint="eastAsia" w:ascii="楷体" w:hAnsi="楷体" w:eastAsia="楷体" w:cs="楷体"/>
          <w:bCs/>
          <w:sz w:val="24"/>
          <w:lang w:val="zh-CN"/>
        </w:rPr>
        <w:t>将在两个工作日内作出答复，但答复的内容不涉及商业秘密。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、质疑</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.1 供应商认为采购文件、采购过程和成交结果使自己的合法权益受到损害的，可以在知道或者应当知道其权益受到损害之日起七个工作日内，将质疑文件原件送达</w:t>
      </w:r>
      <w:r>
        <w:rPr>
          <w:rFonts w:hint="eastAsia" w:ascii="楷体" w:hAnsi="楷体" w:eastAsia="楷体" w:cs="楷体"/>
          <w:bCs/>
          <w:sz w:val="24"/>
        </w:rPr>
        <w:t>采购办</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.2 质疑文件应包括以下主要内容，并</w:t>
      </w:r>
      <w:r>
        <w:rPr>
          <w:rFonts w:hint="eastAsia" w:ascii="楷体" w:hAnsi="楷体" w:eastAsia="楷体" w:cs="楷体"/>
          <w:bCs/>
          <w:sz w:val="24"/>
        </w:rPr>
        <w:t>按照“谁主张、谁举证”的原则，附上相关证明材料。否则，采购办不予受理：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（1）质疑项目名称、项目编号、包号、采购公告发布时间、磋商时间；</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（2）提起质疑的日期、具体的质疑事项及事实根据（具体条款）；</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（3）认为自己合法权益受到损害或可能受到损害的相关证据材料。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（4）质疑供应商名称、地址、邮编、联系人、联系电话</w:t>
      </w:r>
      <w:r>
        <w:rPr>
          <w:rFonts w:hint="eastAsia" w:ascii="楷体" w:hAnsi="楷体" w:eastAsia="楷体" w:cs="楷体"/>
          <w:bCs/>
          <w:sz w:val="24"/>
        </w:rPr>
        <w:t>（包括座机、手机、传真号码等）</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（5）质疑函应当署名，质疑人为自然人的，应当由本人签字并附有效身份证明；质疑人为法人或其他组织的，应当由法定代表人签字并加盖单位公章。</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.3 质疑</w:t>
      </w:r>
      <w:r>
        <w:rPr>
          <w:rFonts w:hint="eastAsia" w:ascii="楷体" w:hAnsi="楷体" w:eastAsia="楷体" w:cs="楷体"/>
          <w:bCs/>
          <w:sz w:val="24"/>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 xml:space="preserve">17.4 </w:t>
      </w:r>
      <w:r>
        <w:rPr>
          <w:rFonts w:hint="eastAsia" w:ascii="楷体" w:hAnsi="楷体" w:eastAsia="楷体" w:cs="楷体"/>
          <w:bCs/>
          <w:sz w:val="24"/>
          <w:lang w:val="zh-CN"/>
        </w:rPr>
        <w:t>采购办</w:t>
      </w:r>
      <w:r>
        <w:rPr>
          <w:rFonts w:hint="eastAsia" w:ascii="楷体" w:hAnsi="楷体" w:eastAsia="楷体" w:cs="楷体"/>
          <w:bCs/>
          <w:sz w:val="24"/>
        </w:rPr>
        <w:t>在收到供应商的书面质疑后将及时组织调查核实，在</w:t>
      </w:r>
      <w:r>
        <w:rPr>
          <w:rFonts w:hint="eastAsia" w:ascii="楷体" w:hAnsi="楷体" w:eastAsia="楷体" w:cs="楷体"/>
          <w:bCs/>
          <w:sz w:val="24"/>
          <w:lang w:val="zh-CN"/>
        </w:rPr>
        <w:t>七个工作日内作出答复，并以书面通知质疑供应商和其他有关供应商，答复的内容不涉及商业秘密。采购办</w:t>
      </w:r>
      <w:r>
        <w:rPr>
          <w:rFonts w:hint="eastAsia" w:ascii="楷体" w:hAnsi="楷体" w:eastAsia="楷体" w:cs="楷体"/>
          <w:bCs/>
          <w:sz w:val="24"/>
        </w:rPr>
        <w:t>遵循“谁过错谁负担”的原则，有过错的一方承担调查论证费用。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 xml:space="preserve">17.5 </w:t>
      </w:r>
      <w:r>
        <w:rPr>
          <w:rFonts w:hint="eastAsia" w:ascii="楷体" w:hAnsi="楷体" w:eastAsia="楷体" w:cs="楷体"/>
          <w:bCs/>
          <w:sz w:val="24"/>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8</w:t>
      </w:r>
      <w:r>
        <w:rPr>
          <w:rFonts w:hint="eastAsia" w:ascii="楷体" w:hAnsi="楷体" w:eastAsia="楷体" w:cs="楷体"/>
          <w:bCs/>
          <w:sz w:val="24"/>
          <w:lang w:val="zh-CN"/>
        </w:rPr>
        <w:t>、投诉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8</w:t>
      </w:r>
      <w:r>
        <w:rPr>
          <w:rFonts w:hint="eastAsia" w:ascii="楷体" w:hAnsi="楷体" w:eastAsia="楷体" w:cs="楷体"/>
          <w:bCs/>
          <w:sz w:val="24"/>
          <w:lang w:val="zh-CN"/>
        </w:rPr>
        <w:t>.1质疑供应商对采购办的答复不满意，或采购办未在规定的时间内作出答复的，可以在答复期满后十五个工作日内向采购项目同级财政部门投诉。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、诚实信用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.1 供应商之间不得相互串通报价，不得妨碍其他供应商的公平竞争，不得损害采购人和其他供应商的合法权益。</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.2 供应商不得以向采购办工作人员、磋商小组成员行贿或者采取其他不正当手段谋取成交。经查实供应商有此行为的，</w:t>
      </w:r>
      <w:r>
        <w:rPr>
          <w:rFonts w:hint="eastAsia" w:ascii="楷体" w:hAnsi="楷体" w:eastAsia="楷体" w:cs="楷体"/>
          <w:bCs/>
          <w:sz w:val="24"/>
        </w:rPr>
        <w:t>政府采购管理部门将供应商列入不良行为记录名单，按照《政府采购法》有关规定处理。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19</w:t>
      </w:r>
      <w:r>
        <w:rPr>
          <w:rFonts w:hint="eastAsia" w:ascii="楷体" w:hAnsi="楷体" w:eastAsia="楷体" w:cs="楷体"/>
          <w:bCs/>
          <w:sz w:val="24"/>
          <w:lang w:val="zh-CN"/>
        </w:rPr>
        <w:t>.3 供应商不得虚假质疑和恶意质疑，并对质疑内容的真实性承担责任。</w:t>
      </w:r>
      <w:r>
        <w:rPr>
          <w:rFonts w:hint="eastAsia" w:ascii="楷体" w:hAnsi="楷体" w:eastAsia="楷体" w:cs="楷体"/>
          <w:bCs/>
          <w:sz w:val="24"/>
        </w:rPr>
        <w:t>供应商通过捏造事实、伪造证明材料等方式提出异议或投诉，阻碍政府采购活动正常进行的，属于严重不良行为，采购办将提请财政部门将其列入不良行为记录名单，并依法予以处罚。</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.4 供应商不得虚假承诺，否则，按照提供虚假材料谋取成交处理。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.5 供应商应自觉遵守磋商、评审纪律，扰乱磋商、评审现场秩序的，属于失信行为，根据《江苏省政府采购供应商监督管理暂行办法》，失信行为将被记入供应商诚信档案。</w:t>
      </w:r>
    </w:p>
    <w:bookmarkEnd w:id="34"/>
    <w:bookmarkEnd w:id="35"/>
    <w:bookmarkEnd w:id="36"/>
    <w:p>
      <w:pPr>
        <w:pStyle w:val="43"/>
        <w:spacing w:after="319"/>
        <w:rPr>
          <w:rFonts w:hint="eastAsia" w:ascii="楷体" w:hAnsi="楷体" w:eastAsia="楷体" w:cs="楷体"/>
          <w:sz w:val="40"/>
        </w:rPr>
      </w:pPr>
    </w:p>
    <w:p>
      <w:pPr>
        <w:pStyle w:val="43"/>
        <w:spacing w:after="319"/>
        <w:rPr>
          <w:rFonts w:hint="eastAsia" w:ascii="楷体" w:hAnsi="楷体" w:eastAsia="楷体" w:cs="楷体"/>
          <w:sz w:val="40"/>
        </w:rPr>
      </w:pPr>
    </w:p>
    <w:p>
      <w:pPr>
        <w:pStyle w:val="43"/>
        <w:spacing w:after="319"/>
        <w:rPr>
          <w:rFonts w:hint="eastAsia" w:ascii="楷体" w:hAnsi="楷体" w:eastAsia="楷体" w:cs="楷体"/>
          <w:sz w:val="40"/>
        </w:rPr>
      </w:pPr>
    </w:p>
    <w:bookmarkEnd w:id="26"/>
    <w:bookmarkEnd w:id="27"/>
    <w:bookmarkEnd w:id="28"/>
    <w:bookmarkEnd w:id="29"/>
    <w:bookmarkEnd w:id="30"/>
    <w:bookmarkEnd w:id="31"/>
    <w:bookmarkEnd w:id="37"/>
    <w:bookmarkEnd w:id="38"/>
    <w:p>
      <w:pPr>
        <w:pStyle w:val="43"/>
        <w:spacing w:after="319"/>
        <w:rPr>
          <w:rFonts w:ascii="楷体" w:hAnsi="楷体" w:eastAsia="楷体" w:cs="楷体"/>
          <w:sz w:val="40"/>
        </w:rPr>
      </w:pPr>
      <w:bookmarkStart w:id="52" w:name="_Toc28167"/>
      <w:bookmarkStart w:id="53" w:name="_Toc32263"/>
      <w:bookmarkStart w:id="54" w:name="_Toc324237148"/>
      <w:bookmarkStart w:id="55" w:name="_Toc120614281"/>
      <w:bookmarkStart w:id="56" w:name="_Toc49090575"/>
      <w:bookmarkStart w:id="57" w:name="_Toc26554093"/>
      <w:bookmarkStart w:id="58" w:name="_Toc462564139"/>
      <w:bookmarkStart w:id="59" w:name="_Toc479757211"/>
      <w:r>
        <w:rPr>
          <w:rFonts w:hint="eastAsia" w:ascii="楷体" w:hAnsi="楷体" w:eastAsia="楷体" w:cs="楷体"/>
          <w:sz w:val="40"/>
        </w:rPr>
        <w:t>第三章  项目需求</w:t>
      </w:r>
      <w:bookmarkEnd w:id="52"/>
      <w:bookmarkEnd w:id="53"/>
      <w:bookmarkEnd w:id="54"/>
      <w:bookmarkStart w:id="60" w:name="_Toc324237156"/>
      <w:bookmarkStart w:id="61" w:name="_Toc18960"/>
    </w:p>
    <w:bookmarkEnd w:id="60"/>
    <w:bookmarkEnd w:id="61"/>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bookmarkStart w:id="62" w:name="_Toc403987220"/>
      <w:bookmarkStart w:id="63" w:name="_Toc15880"/>
      <w:bookmarkStart w:id="64" w:name="_Toc24347"/>
      <w:bookmarkStart w:id="65" w:name="_Toc324237157"/>
      <w:bookmarkStart w:id="66" w:name="_Toc273"/>
      <w:bookmarkStart w:id="67" w:name="_Toc8457"/>
      <w:r>
        <w:rPr>
          <w:rFonts w:hint="eastAsia" w:hAnsi="宋体"/>
          <w:bCs/>
          <w:color w:val="auto"/>
          <w:highlight w:val="none"/>
        </w:rPr>
        <w:t>一、项</w:t>
      </w:r>
      <w:r>
        <w:rPr>
          <w:rFonts w:hint="eastAsia" w:hAnsi="宋体"/>
          <w:bCs/>
          <w:color w:val="auto"/>
          <w:szCs w:val="22"/>
          <w:highlight w:val="none"/>
        </w:rPr>
        <w:t>目名称：南京交通职业技术学院行健馆226室报告厅改造</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lang w:eastAsia="zh-CN"/>
        </w:rPr>
        <w:t>二</w:t>
      </w:r>
      <w:r>
        <w:rPr>
          <w:rFonts w:hint="eastAsia" w:hAnsi="宋体"/>
          <w:bCs/>
          <w:color w:val="auto"/>
          <w:highlight w:val="none"/>
        </w:rPr>
        <w:t>、项目内容：</w:t>
      </w:r>
      <w:r>
        <w:rPr>
          <w:rFonts w:hint="eastAsia" w:hAnsi="宋体"/>
          <w:bCs/>
          <w:color w:val="auto"/>
          <w:szCs w:val="22"/>
          <w:highlight w:val="none"/>
        </w:rPr>
        <w:t>南京交通职业技术学院行健馆226室报告厅改造</w:t>
      </w:r>
      <w:r>
        <w:rPr>
          <w:rFonts w:hint="eastAsia" w:hAnsi="宋体"/>
          <w:bCs/>
          <w:color w:val="auto"/>
          <w:highlight w:val="none"/>
        </w:rPr>
        <w:t>（清单见附件）具体工作内容详见招标工程量清单及合同条款，且不得拒绝执行为完成全部工程而须执行的可能遗漏的工作。采购人保留调整发包范围的权利，供应商不得提出异议。</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具体</w:t>
      </w:r>
      <w:r>
        <w:rPr>
          <w:rFonts w:hint="eastAsia" w:hAnsi="宋体"/>
          <w:bCs/>
          <w:highlight w:val="none"/>
          <w:lang w:eastAsia="zh-CN"/>
        </w:rPr>
        <w:t>工作内容</w:t>
      </w:r>
      <w:r>
        <w:rPr>
          <w:rFonts w:hint="eastAsia" w:hAnsi="宋体"/>
          <w:bCs/>
          <w:highlight w:val="none"/>
        </w:rPr>
        <w:t>详见招标工程量清单及合同条款，且不得拒绝执行为完成全部工程而须执行的可能遗漏的工作。采购人保留调整发包范围的权利，响应商不得提出异议。</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lang w:eastAsia="zh-CN"/>
        </w:rPr>
        <w:t>三</w:t>
      </w:r>
      <w:r>
        <w:rPr>
          <w:rFonts w:hint="eastAsia" w:hAnsi="宋体"/>
          <w:bCs/>
          <w:highlight w:val="none"/>
        </w:rPr>
        <w:t>、响应说明及要求（</w:t>
      </w:r>
      <w:r>
        <w:rPr>
          <w:rFonts w:hint="eastAsia" w:hAnsi="宋体"/>
          <w:b/>
          <w:bCs w:val="0"/>
          <w:highlight w:val="none"/>
        </w:rPr>
        <w:t>第3、4条必须在响应文件中做出书面承诺）</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响应商在认真阅读询价文件后须撰写服务承诺书并提供以下证明及资料：</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1、法定代表人身份证明和法定代表人对业务代表的正式授权书（一个单位不得委托多人代理，一人不得代理多个单位，否则响应无效）；</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2、服务承诺书从工期保证措施（工期每延误1天罚款</w:t>
      </w:r>
      <w:r>
        <w:rPr>
          <w:rFonts w:hint="eastAsia" w:hAnsi="宋体"/>
          <w:bCs/>
          <w:highlight w:val="none"/>
          <w:lang w:val="en-US" w:eastAsia="zh-CN"/>
        </w:rPr>
        <w:t>2</w:t>
      </w:r>
      <w:r>
        <w:rPr>
          <w:rFonts w:hint="eastAsia" w:hAnsi="宋体"/>
          <w:bCs/>
          <w:highlight w:val="none"/>
        </w:rPr>
        <w:t>000元）、质量保证措施（提供主材的规格、型号和品牌）、安全文明保证措施（施工人员指定工作服、施工区域围护、持证上岗等）、有针对性的专项施工方案；对民工工资与材料款发放措施及其它承诺等方面撰写，应字迹清晰、内容齐全、表达准确。</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3、成交人需承诺其承担的工程项目在合同期内全部验收合格。</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4、成交人需承诺不得将成交项目转包及其它违规行为，一经发现立即取消施工资格，并按相关法律法规上报处理。</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5、响应商应自行对服务现场和周围环境进行勘察，以获取编制投标文件和签署合同所需的资料。勘察现场所发生的费用由响应商自行承担。采购人向响应商提供的有关服务现场的资料和数据，是招标人现有的能使响应商利用的资料。采购人对响应商由此而做出的推论、理解和结论概不负责。响应商未到服务现场实地踏勘的，成交后签订合同时和履约过程中，不得以不完全了解现场情况为由，提出任何形式的增加合同价款或索赔的要求。</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6、响应商根据项目情况，客观报价，如发现恶意报价行为，作废标处理。</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7、磋商保证</w:t>
      </w:r>
      <w:r>
        <w:rPr>
          <w:rFonts w:hint="eastAsia" w:hAnsi="宋体"/>
          <w:bCs/>
          <w:highlight w:val="yellow"/>
        </w:rPr>
        <w:t>金</w:t>
      </w:r>
      <w:r>
        <w:rPr>
          <w:rFonts w:hint="eastAsia" w:hAnsi="宋体"/>
          <w:bCs/>
          <w:highlight w:val="yellow"/>
          <w:lang w:val="en-US" w:eastAsia="zh-CN"/>
        </w:rPr>
        <w:t>5000元</w:t>
      </w:r>
      <w:r>
        <w:rPr>
          <w:rFonts w:hint="eastAsia" w:hAnsi="宋体"/>
          <w:bCs/>
          <w:highlight w:val="none"/>
        </w:rPr>
        <w:t>，成交后转为履约保证金。</w:t>
      </w:r>
    </w:p>
    <w:p>
      <w:pPr>
        <w:keepNext w:val="0"/>
        <w:keepLines w:val="0"/>
        <w:pageBreakBefore w:val="0"/>
        <w:kinsoku/>
        <w:wordWrap/>
        <w:overflowPunct/>
        <w:topLinePunct w:val="0"/>
        <w:autoSpaceDE/>
        <w:autoSpaceDN/>
        <w:bidi w:val="0"/>
        <w:adjustRightInd/>
        <w:snapToGrid/>
        <w:spacing w:line="580" w:lineRule="exact"/>
        <w:ind w:firstLine="420" w:firstLineChars="200"/>
        <w:textAlignment w:val="auto"/>
        <w:rPr>
          <w:rFonts w:hint="default" w:ascii="宋体" w:hAnsi="宋体" w:eastAsia="宋体"/>
          <w:color w:val="auto"/>
          <w:szCs w:val="21"/>
          <w:highlight w:val="none"/>
          <w:lang w:val="en-US" w:eastAsia="zh-CN"/>
        </w:rPr>
      </w:pPr>
      <w:r>
        <w:rPr>
          <w:rFonts w:hint="eastAsia" w:ascii="宋体" w:hAnsi="宋体"/>
          <w:color w:val="000000"/>
          <w:szCs w:val="21"/>
          <w:highlight w:val="none"/>
        </w:rPr>
        <w:t>8、</w:t>
      </w:r>
      <w:r>
        <w:rPr>
          <w:rFonts w:hint="eastAsia" w:ascii="宋体" w:hAnsi="宋体"/>
          <w:color w:val="000000"/>
          <w:szCs w:val="21"/>
          <w:highlight w:val="none"/>
          <w:lang w:val="en-US" w:eastAsia="zh-CN"/>
        </w:rPr>
        <w:t>本工</w:t>
      </w:r>
      <w:r>
        <w:rPr>
          <w:rFonts w:hint="eastAsia" w:ascii="宋体" w:hAnsi="宋体"/>
          <w:color w:val="auto"/>
          <w:szCs w:val="21"/>
          <w:highlight w:val="none"/>
          <w:lang w:val="en-US" w:eastAsia="zh-CN"/>
        </w:rPr>
        <w:t>程暂</w:t>
      </w:r>
      <w:r>
        <w:rPr>
          <w:rFonts w:hint="eastAsia" w:ascii="宋体" w:hAnsi="宋体"/>
          <w:color w:val="auto"/>
          <w:szCs w:val="21"/>
          <w:highlight w:val="yellow"/>
          <w:lang w:val="en-US" w:eastAsia="zh-CN"/>
        </w:rPr>
        <w:t>列金10000元</w:t>
      </w:r>
      <w:r>
        <w:rPr>
          <w:rFonts w:hint="eastAsia" w:ascii="宋体" w:hAnsi="宋体"/>
          <w:color w:val="auto"/>
          <w:szCs w:val="21"/>
          <w:highlight w:val="none"/>
          <w:lang w:val="en-US" w:eastAsia="zh-CN"/>
        </w:rPr>
        <w:t>；项目咨询服务费已包含在控制价中</w:t>
      </w:r>
      <w:r>
        <w:rPr>
          <w:rFonts w:hint="eastAsia" w:ascii="宋体" w:hAnsi="宋体"/>
          <w:color w:val="auto"/>
          <w:szCs w:val="21"/>
          <w:highlight w:val="none"/>
          <w:lang w:eastAsia="zh-CN"/>
        </w:rPr>
        <w:t>，</w:t>
      </w:r>
      <w:r>
        <w:rPr>
          <w:rFonts w:hint="eastAsia" w:ascii="宋体" w:hAnsi="宋体"/>
          <w:color w:val="auto"/>
          <w:szCs w:val="21"/>
          <w:highlight w:val="none"/>
        </w:rPr>
        <w:t>由中标单位支付给九鼎工程管理咨询有限公司</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领取中标通知书时支付</w:t>
      </w:r>
      <w:r>
        <w:rPr>
          <w:rFonts w:hint="eastAsia" w:ascii="宋体" w:hAnsi="宋体"/>
          <w:color w:val="auto"/>
          <w:szCs w:val="21"/>
          <w:highlight w:val="none"/>
        </w:rPr>
        <w:t>施工方案优化</w:t>
      </w:r>
      <w:r>
        <w:rPr>
          <w:rFonts w:hint="eastAsia" w:ascii="宋体" w:hAnsi="宋体"/>
          <w:color w:val="auto"/>
          <w:szCs w:val="21"/>
          <w:highlight w:val="none"/>
          <w:lang w:eastAsia="zh-CN"/>
        </w:rPr>
        <w:t>、工程量清单及控制价编制</w:t>
      </w:r>
      <w:r>
        <w:rPr>
          <w:rFonts w:hint="eastAsia" w:ascii="宋体" w:hAnsi="宋体"/>
          <w:color w:val="auto"/>
          <w:szCs w:val="21"/>
          <w:highlight w:val="none"/>
          <w:lang w:val="en-US" w:eastAsia="zh-CN"/>
        </w:rPr>
        <w:t>费用</w:t>
      </w:r>
      <w:r>
        <w:rPr>
          <w:rFonts w:hint="eastAsia" w:ascii="宋体" w:hAnsi="宋体"/>
          <w:color w:val="auto"/>
          <w:szCs w:val="21"/>
          <w:highlight w:val="none"/>
        </w:rPr>
        <w:t>，开工前提供付款凭证给校方</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项目验收前支付</w:t>
      </w:r>
      <w:r>
        <w:rPr>
          <w:rFonts w:hint="eastAsia" w:ascii="宋体" w:hAnsi="宋体"/>
          <w:color w:val="auto"/>
          <w:szCs w:val="21"/>
          <w:highlight w:val="none"/>
        </w:rPr>
        <w:t>过程质量督查</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项目资料审查费用；</w:t>
      </w:r>
      <w:r>
        <w:rPr>
          <w:rFonts w:hint="eastAsia" w:ascii="宋体" w:hAnsi="宋体"/>
          <w:color w:val="auto"/>
          <w:szCs w:val="21"/>
          <w:highlight w:val="none"/>
        </w:rPr>
        <w:t>报价时</w:t>
      </w:r>
      <w:r>
        <w:rPr>
          <w:rFonts w:hint="eastAsia" w:ascii="宋体" w:hAnsi="宋体"/>
          <w:color w:val="auto"/>
          <w:szCs w:val="21"/>
          <w:highlight w:val="none"/>
          <w:lang w:val="en-US" w:eastAsia="zh-CN"/>
        </w:rPr>
        <w:t>咨询费不得让利。咨询服务费中以费率计费的基数按控制价累进制方法计入，中标单位支付咨询费时计算基数为中标金额，项目结算时该项以中标金额为基数作调整。</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rPr>
        <w:t>9、单项工程提供详细施工技术方案及未来清单报价表（含综合单价分析表等），并附光盘。</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lang w:eastAsia="zh-CN"/>
        </w:rPr>
        <w:t>四</w:t>
      </w:r>
      <w:r>
        <w:rPr>
          <w:rFonts w:hint="eastAsia" w:hAnsi="宋体"/>
          <w:bCs/>
          <w:color w:val="auto"/>
          <w:highlight w:val="none"/>
        </w:rPr>
        <w:t>、材质及质量要求</w:t>
      </w:r>
    </w:p>
    <w:bookmarkEnd w:id="62"/>
    <w:p>
      <w:pPr>
        <w:keepNext w:val="0"/>
        <w:keepLines w:val="0"/>
        <w:pageBreakBefore w:val="0"/>
        <w:widowControl/>
        <w:kinsoku/>
        <w:wordWrap/>
        <w:overflowPunct/>
        <w:topLinePunct w:val="0"/>
        <w:bidi w:val="0"/>
        <w:snapToGrid/>
        <w:spacing w:line="500" w:lineRule="exact"/>
        <w:ind w:firstLine="420" w:firstLineChars="200"/>
        <w:textAlignment w:val="auto"/>
        <w:rPr>
          <w:rFonts w:hint="eastAsia" w:hAnsi="宋体"/>
          <w:bCs/>
          <w:color w:val="auto"/>
          <w:szCs w:val="22"/>
          <w:highlight w:val="none"/>
        </w:rPr>
      </w:pPr>
      <w:r>
        <w:rPr>
          <w:rFonts w:hint="eastAsia" w:hAnsi="宋体"/>
          <w:bCs/>
          <w:color w:val="auto"/>
          <w:szCs w:val="22"/>
          <w:highlight w:val="none"/>
        </w:rPr>
        <w:t>主材必须严格选用优质、环保、无腐蚀性产品，材料进场提供产品合格证并办理材料报验手续；施工规范符合现行国家规范；工程质量要求为：合格。</w:t>
      </w:r>
    </w:p>
    <w:p>
      <w:pPr>
        <w:keepNext w:val="0"/>
        <w:keepLines w:val="0"/>
        <w:pageBreakBefore w:val="0"/>
        <w:widowControl/>
        <w:kinsoku/>
        <w:wordWrap/>
        <w:overflowPunct/>
        <w:topLinePunct w:val="0"/>
        <w:bidi w:val="0"/>
        <w:snapToGrid/>
        <w:spacing w:line="500" w:lineRule="exact"/>
        <w:ind w:firstLine="420" w:firstLineChars="200"/>
        <w:textAlignment w:val="auto"/>
        <w:rPr>
          <w:rFonts w:hint="eastAsia" w:hAnsi="宋体"/>
          <w:bCs/>
          <w:color w:val="auto"/>
          <w:szCs w:val="22"/>
          <w:highlight w:val="none"/>
        </w:rPr>
      </w:pPr>
      <w:r>
        <w:rPr>
          <w:rFonts w:hint="eastAsia" w:hAnsi="宋体"/>
          <w:bCs/>
          <w:color w:val="auto"/>
          <w:szCs w:val="22"/>
          <w:highlight w:val="none"/>
        </w:rPr>
        <w:t>主要材料</w:t>
      </w:r>
      <w:r>
        <w:rPr>
          <w:rFonts w:hint="eastAsia" w:hAnsi="宋体"/>
          <w:bCs/>
          <w:color w:val="auto"/>
          <w:szCs w:val="22"/>
          <w:highlight w:val="none"/>
          <w:lang w:eastAsia="zh-CN"/>
        </w:rPr>
        <w:t>推荐</w:t>
      </w:r>
      <w:r>
        <w:rPr>
          <w:rFonts w:hint="eastAsia" w:hAnsi="宋体"/>
          <w:bCs/>
          <w:color w:val="auto"/>
          <w:szCs w:val="22"/>
          <w:highlight w:val="none"/>
        </w:rPr>
        <w:t>品牌及样品提供要求：</w:t>
      </w:r>
    </w:p>
    <w:p>
      <w:pPr>
        <w:keepNext w:val="0"/>
        <w:keepLines w:val="0"/>
        <w:pageBreakBefore w:val="0"/>
        <w:widowControl/>
        <w:numPr>
          <w:ilvl w:val="0"/>
          <w:numId w:val="0"/>
        </w:numPr>
        <w:kinsoku/>
        <w:wordWrap/>
        <w:overflowPunct/>
        <w:topLinePunct w:val="0"/>
        <w:bidi w:val="0"/>
        <w:snapToGrid/>
        <w:spacing w:line="500" w:lineRule="exact"/>
        <w:ind w:leftChars="0" w:firstLine="420" w:firstLineChars="200"/>
        <w:textAlignment w:val="auto"/>
        <w:rPr>
          <w:rFonts w:hint="eastAsia" w:ascii="宋体" w:hAnsi="宋体"/>
          <w:color w:val="000000"/>
          <w:szCs w:val="21"/>
          <w:highlight w:val="none"/>
          <w:lang w:val="en-US" w:eastAsia="zh-CN"/>
        </w:rPr>
      </w:pPr>
      <w:r>
        <w:rPr>
          <w:rFonts w:hint="eastAsia" w:hAnsi="宋体"/>
          <w:bCs/>
          <w:color w:val="auto"/>
          <w:szCs w:val="22"/>
          <w:highlight w:val="none"/>
        </w:rPr>
        <w:t>1</w:t>
      </w:r>
      <w:r>
        <w:rPr>
          <w:rFonts w:hint="eastAsia" w:hAnsi="宋体"/>
          <w:bCs/>
          <w:color w:val="auto"/>
          <w:szCs w:val="22"/>
          <w:highlight w:val="none"/>
          <w:lang w:eastAsia="zh-CN"/>
        </w:rPr>
        <w:t>、</w:t>
      </w:r>
      <w:r>
        <w:rPr>
          <w:rFonts w:hint="eastAsia" w:ascii="宋体" w:hAnsi="宋体"/>
          <w:color w:val="000000"/>
          <w:szCs w:val="21"/>
          <w:highlight w:val="none"/>
          <w:lang w:val="en-US" w:eastAsia="zh-CN"/>
        </w:rPr>
        <w:t>乳胶漆品牌：立邦、多乐士、三棵树等同档次或高于此档次产品。</w:t>
      </w:r>
    </w:p>
    <w:p>
      <w:pPr>
        <w:keepNext w:val="0"/>
        <w:keepLines w:val="0"/>
        <w:pageBreakBefore w:val="0"/>
        <w:widowControl/>
        <w:numPr>
          <w:ilvl w:val="0"/>
          <w:numId w:val="0"/>
        </w:numPr>
        <w:kinsoku/>
        <w:wordWrap/>
        <w:overflowPunct/>
        <w:topLinePunct w:val="0"/>
        <w:bidi w:val="0"/>
        <w:snapToGrid/>
        <w:spacing w:line="500" w:lineRule="exact"/>
        <w:ind w:leftChars="0" w:firstLine="420" w:firstLineChars="200"/>
        <w:textAlignment w:val="auto"/>
        <w:rPr>
          <w:rFonts w:hint="eastAsia" w:ascii="宋体" w:hAnsi="宋体"/>
          <w:color w:val="000000"/>
          <w:szCs w:val="21"/>
          <w:highlight w:val="none"/>
          <w:lang w:val="en-US" w:eastAsia="zh-CN"/>
        </w:rPr>
      </w:pPr>
      <w:r>
        <w:rPr>
          <w:rFonts w:hint="eastAsia" w:ascii="宋体" w:hAnsi="宋体"/>
          <w:color w:val="000000"/>
          <w:szCs w:val="21"/>
          <w:highlight w:val="none"/>
          <w:lang w:val="en-US" w:eastAsia="zh-CN"/>
        </w:rPr>
        <w:t>2、灯具品牌：雷士、欧普、飞利浦等同档次或高于此档次产品。</w:t>
      </w:r>
    </w:p>
    <w:p>
      <w:pPr>
        <w:keepNext w:val="0"/>
        <w:keepLines w:val="0"/>
        <w:pageBreakBefore w:val="0"/>
        <w:widowControl/>
        <w:numPr>
          <w:ilvl w:val="0"/>
          <w:numId w:val="0"/>
        </w:numPr>
        <w:kinsoku/>
        <w:wordWrap/>
        <w:overflowPunct/>
        <w:topLinePunct w:val="0"/>
        <w:bidi w:val="0"/>
        <w:snapToGrid/>
        <w:spacing w:line="500" w:lineRule="exact"/>
        <w:ind w:leftChars="0" w:firstLine="420" w:firstLineChars="200"/>
        <w:textAlignment w:val="auto"/>
        <w:rPr>
          <w:rFonts w:hint="eastAsia" w:ascii="宋体" w:hAnsi="宋体"/>
          <w:color w:val="auto"/>
          <w:szCs w:val="21"/>
          <w:highlight w:val="none"/>
          <w:lang w:eastAsia="zh-CN"/>
        </w:rPr>
      </w:pPr>
      <w:r>
        <w:rPr>
          <w:rFonts w:hint="eastAsia" w:ascii="宋体" w:hAnsi="宋体"/>
          <w:color w:val="000000"/>
          <w:szCs w:val="21"/>
          <w:highlight w:val="none"/>
          <w:lang w:val="en-US" w:eastAsia="zh-CN"/>
        </w:rPr>
        <w:t>3、</w:t>
      </w:r>
      <w:r>
        <w:rPr>
          <w:rFonts w:hint="eastAsia" w:ascii="宋体" w:hAnsi="宋体"/>
          <w:color w:val="000000"/>
          <w:szCs w:val="21"/>
          <w:highlight w:val="none"/>
        </w:rPr>
        <w:t>其他主材需要经</w:t>
      </w:r>
      <w:r>
        <w:rPr>
          <w:rFonts w:hint="eastAsia" w:ascii="宋体" w:hAnsi="宋体"/>
          <w:color w:val="auto"/>
          <w:szCs w:val="21"/>
          <w:highlight w:val="none"/>
        </w:rPr>
        <w:t>过</w:t>
      </w:r>
      <w:r>
        <w:rPr>
          <w:rFonts w:hint="eastAsia" w:ascii="宋体" w:hAnsi="宋体"/>
          <w:color w:val="auto"/>
          <w:szCs w:val="21"/>
          <w:highlight w:val="none"/>
          <w:lang w:eastAsia="zh-CN"/>
        </w:rPr>
        <w:t>校方</w:t>
      </w:r>
      <w:r>
        <w:rPr>
          <w:rFonts w:hint="eastAsia" w:ascii="宋体" w:hAnsi="宋体"/>
          <w:color w:val="auto"/>
          <w:szCs w:val="21"/>
          <w:highlight w:val="none"/>
        </w:rPr>
        <w:t>认可后方可使用。</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lang w:eastAsia="zh-CN"/>
        </w:rPr>
        <w:t>五</w:t>
      </w:r>
      <w:r>
        <w:rPr>
          <w:rFonts w:hint="eastAsia" w:hAnsi="宋体"/>
          <w:bCs/>
          <w:color w:val="auto"/>
          <w:highlight w:val="none"/>
        </w:rPr>
        <w:t>、工期要求</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yellow"/>
          <w:lang w:val="en-US" w:eastAsia="zh-CN"/>
        </w:rPr>
        <w:t>15</w:t>
      </w:r>
      <w:r>
        <w:rPr>
          <w:rFonts w:hint="eastAsia" w:hAnsi="宋体"/>
          <w:bCs/>
          <w:color w:val="auto"/>
          <w:highlight w:val="yellow"/>
        </w:rPr>
        <w:t>日历</w:t>
      </w:r>
      <w:r>
        <w:rPr>
          <w:rFonts w:hint="eastAsia" w:hAnsi="宋体"/>
          <w:bCs/>
          <w:color w:val="auto"/>
          <w:highlight w:val="yellow"/>
          <w:lang w:val="en-US" w:eastAsia="zh-CN"/>
        </w:rPr>
        <w:t>天</w:t>
      </w:r>
      <w:r>
        <w:rPr>
          <w:rFonts w:hint="eastAsia" w:hAnsi="宋体"/>
          <w:bCs/>
          <w:color w:val="auto"/>
          <w:highlight w:val="none"/>
        </w:rPr>
        <w:t>。开工日期以甲方通知为准。施工现场要保证不影响正常教学和办公。</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color w:val="auto"/>
          <w:highlight w:val="none"/>
        </w:rPr>
      </w:pPr>
      <w:r>
        <w:rPr>
          <w:rFonts w:hint="eastAsia" w:hAnsi="宋体"/>
          <w:bCs/>
          <w:color w:val="auto"/>
          <w:highlight w:val="none"/>
          <w:lang w:eastAsia="zh-CN"/>
        </w:rPr>
        <w:t>六</w:t>
      </w:r>
      <w:r>
        <w:rPr>
          <w:rFonts w:hint="eastAsia" w:hAnsi="宋体"/>
          <w:bCs/>
          <w:color w:val="auto"/>
          <w:highlight w:val="none"/>
        </w:rPr>
        <w:t>、施工管理要求</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color w:val="auto"/>
          <w:highlight w:val="none"/>
        </w:rPr>
        <w:t>1、现场管理及安全责任：施工单位根据现行国家工程质量检验标准和现场实际情况，按国家有关规定派驻具有相应资质的项目经理，</w:t>
      </w:r>
      <w:r>
        <w:rPr>
          <w:rFonts w:hint="eastAsia" w:hAnsi="宋体"/>
          <w:bCs/>
          <w:highlight w:val="none"/>
        </w:rPr>
        <w:t>项目经理在施工期间须每日到场，加强施工管理，因质量和安全问题造成的一切责任和损失均由施工单位负责。</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2、主材检测：业主可随时对工程主要材料选择送检，检测费用包含在响应价内，如发现以次充好或不合格材料，除及时更换合格产品外，每发现一处扣罚款2000元。</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3、主要材料进场须经业主确认。</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4、图纸设计若有不符合现行规范、规定、标准等或其他不到位之处，施工单位必须提出，待业主确认后再施工，否则因此造成的质量事故由施工单位承担。</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5、隐蔽工程或部位必须报甲方同意后，方可进入下一步工序并自行留存相关资料，否则结算不予承认。</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6、施工管理中，未按规定要求（安全文明施工、质量标准等方面）进行施工、管理的，罚款300-500元/次。</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rPr>
        <w:t>7、单项工程提供详细施工技术方案及未来清单报价表（含综合单价分析表等），并附光盘。</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lang w:eastAsia="zh-CN"/>
        </w:rPr>
        <w:t>七</w:t>
      </w:r>
      <w:r>
        <w:rPr>
          <w:rFonts w:hint="eastAsia" w:hAnsi="宋体"/>
          <w:bCs/>
          <w:highlight w:val="none"/>
        </w:rPr>
        <w:t>、响应报价</w:t>
      </w:r>
    </w:p>
    <w:p>
      <w:pPr>
        <w:keepNext w:val="0"/>
        <w:keepLines w:val="0"/>
        <w:pageBreakBefore w:val="0"/>
        <w:widowControl/>
        <w:kinsoku/>
        <w:wordWrap/>
        <w:overflowPunct/>
        <w:topLinePunct w:val="0"/>
        <w:bidi w:val="0"/>
        <w:snapToGrid/>
        <w:spacing w:line="500" w:lineRule="exact"/>
        <w:ind w:firstLine="420" w:firstLineChars="200"/>
        <w:textAlignment w:val="auto"/>
        <w:rPr>
          <w:rFonts w:hint="eastAsia" w:hAnsi="宋体"/>
          <w:bCs/>
          <w:highlight w:val="none"/>
        </w:rPr>
      </w:pPr>
      <w:r>
        <w:rPr>
          <w:rFonts w:hint="eastAsia" w:hAnsi="宋体"/>
          <w:bCs/>
          <w:highlight w:val="yellow"/>
        </w:rPr>
        <w:t>合同价格形式为单价合同</w:t>
      </w:r>
      <w:r>
        <w:rPr>
          <w:rFonts w:hint="eastAsia" w:hAnsi="宋体"/>
          <w:bCs/>
          <w:highlight w:val="none"/>
        </w:rPr>
        <w:t>，包含人工、材料、机械、运输费、安装、竣工资料、垃圾清运、质保期内的保修服务费、保险、管理费、利润、政策性文件规定及合同包含的所有风险、责任等及其它一切应有费用，结算时综合单价按本次报价执行，工程量按实结算。（工程量清单报价表附后）。</w:t>
      </w:r>
    </w:p>
    <w:p>
      <w:pPr>
        <w:keepNext w:val="0"/>
        <w:keepLines w:val="0"/>
        <w:pageBreakBefore w:val="0"/>
        <w:widowControl/>
        <w:kinsoku/>
        <w:wordWrap/>
        <w:overflowPunct/>
        <w:topLinePunct w:val="0"/>
        <w:bidi w:val="0"/>
        <w:snapToGrid/>
        <w:spacing w:line="500" w:lineRule="exact"/>
        <w:ind w:firstLine="420" w:firstLineChars="200"/>
        <w:textAlignment w:val="auto"/>
        <w:rPr>
          <w:rFonts w:hAnsi="宋体"/>
          <w:bCs/>
          <w:highlight w:val="none"/>
        </w:rPr>
      </w:pPr>
      <w:r>
        <w:rPr>
          <w:rFonts w:hint="eastAsia" w:hAnsi="宋体"/>
          <w:bCs/>
          <w:highlight w:val="none"/>
          <w:lang w:eastAsia="zh-CN"/>
        </w:rPr>
        <w:t>八</w:t>
      </w:r>
      <w:r>
        <w:rPr>
          <w:rFonts w:hint="eastAsia" w:hAnsi="宋体"/>
          <w:bCs/>
          <w:highlight w:val="none"/>
        </w:rPr>
        <w:t>、付款方式</w:t>
      </w:r>
    </w:p>
    <w:p>
      <w:pPr>
        <w:keepNext w:val="0"/>
        <w:keepLines w:val="0"/>
        <w:pageBreakBefore w:val="0"/>
        <w:widowControl/>
        <w:kinsoku/>
        <w:wordWrap/>
        <w:overflowPunct/>
        <w:topLinePunct w:val="0"/>
        <w:bidi w:val="0"/>
        <w:snapToGrid/>
        <w:spacing w:line="500" w:lineRule="exact"/>
        <w:ind w:firstLine="420" w:firstLineChars="200"/>
        <w:textAlignment w:val="auto"/>
        <w:rPr>
          <w:rFonts w:hint="eastAsia" w:hAnsi="宋体"/>
          <w:bCs/>
          <w:highlight w:val="none"/>
        </w:rPr>
      </w:pPr>
      <w:r>
        <w:rPr>
          <w:rFonts w:hint="eastAsia" w:hAnsi="宋体"/>
          <w:bCs/>
          <w:highlight w:val="yellow"/>
        </w:rPr>
        <w:t>竣工并通过验收，付至合同价的 60%；审计完毕付至审核结算价（全额发票）的 97%；质保期满后无质量缺陷将 3%质保金一次性免息支付</w:t>
      </w:r>
      <w:r>
        <w:rPr>
          <w:rFonts w:hint="eastAsia" w:hAnsi="宋体"/>
          <w:bCs/>
          <w:highlight w:val="none"/>
        </w:rPr>
        <w:t>。</w:t>
      </w:r>
    </w:p>
    <w:p>
      <w:pPr>
        <w:widowControl/>
        <w:ind w:firstLine="420" w:firstLineChars="200"/>
        <w:rPr>
          <w:rFonts w:hAnsi="宋体"/>
          <w:bCs/>
          <w:highlight w:val="none"/>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883" w:firstLineChars="200"/>
        <w:jc w:val="center"/>
        <w:outlineLvl w:val="0"/>
        <w:rPr>
          <w:rFonts w:hint="eastAsia" w:ascii="楷体" w:hAnsi="楷体" w:eastAsia="楷体" w:cs="楷体"/>
          <w:b/>
          <w:bCs/>
          <w:sz w:val="44"/>
          <w:szCs w:val="44"/>
        </w:rPr>
      </w:pPr>
    </w:p>
    <w:p>
      <w:pPr>
        <w:adjustRightInd w:val="0"/>
        <w:snapToGrid w:val="0"/>
        <w:spacing w:line="360" w:lineRule="auto"/>
        <w:ind w:firstLine="1325" w:firstLineChars="300"/>
        <w:jc w:val="both"/>
        <w:outlineLvl w:val="0"/>
        <w:rPr>
          <w:rFonts w:hint="eastAsia" w:ascii="楷体" w:hAnsi="楷体" w:eastAsia="楷体" w:cs="楷体"/>
          <w:b/>
          <w:bCs/>
          <w:sz w:val="44"/>
          <w:szCs w:val="44"/>
        </w:rPr>
      </w:pPr>
    </w:p>
    <w:p>
      <w:pPr>
        <w:adjustRightInd w:val="0"/>
        <w:snapToGrid w:val="0"/>
        <w:spacing w:line="360" w:lineRule="auto"/>
        <w:ind w:firstLine="1325" w:firstLineChars="300"/>
        <w:jc w:val="both"/>
        <w:outlineLvl w:val="0"/>
        <w:rPr>
          <w:rFonts w:hint="eastAsia" w:ascii="楷体" w:hAnsi="楷体" w:eastAsia="楷体" w:cs="楷体"/>
          <w:b/>
          <w:bCs/>
          <w:sz w:val="44"/>
          <w:szCs w:val="44"/>
        </w:rPr>
      </w:pPr>
      <w:r>
        <w:rPr>
          <w:rFonts w:hint="eastAsia" w:ascii="楷体" w:hAnsi="楷体" w:eastAsia="楷体" w:cs="楷体"/>
          <w:b/>
          <w:bCs/>
          <w:sz w:val="44"/>
          <w:szCs w:val="44"/>
        </w:rPr>
        <w:t>第四章  评审方法和评审标准</w:t>
      </w:r>
      <w:bookmarkEnd w:id="63"/>
    </w:p>
    <w:p>
      <w:pPr>
        <w:pStyle w:val="40"/>
        <w:numPr>
          <w:ilvl w:val="0"/>
          <w:numId w:val="0"/>
        </w:numPr>
        <w:outlineLvl w:val="9"/>
        <w:rPr>
          <w:rFonts w:hint="eastAsia" w:ascii="楷体" w:hAnsi="楷体" w:eastAsia="楷体" w:cs="楷体"/>
          <w:snapToGrid w:val="0"/>
          <w:kern w:val="0"/>
        </w:rPr>
      </w:pPr>
      <w:bookmarkStart w:id="68" w:name="_Toc6209"/>
      <w:r>
        <w:rPr>
          <w:rFonts w:hint="eastAsia" w:ascii="楷体" w:hAnsi="楷体" w:eastAsia="楷体" w:cs="楷体"/>
          <w:snapToGrid w:val="0"/>
          <w:kern w:val="0"/>
        </w:rPr>
        <w:t>一、评标方法与定标原则</w:t>
      </w:r>
      <w:bookmarkEnd w:id="64"/>
      <w:bookmarkEnd w:id="68"/>
    </w:p>
    <w:p>
      <w:pPr>
        <w:pStyle w:val="8"/>
        <w:spacing w:line="240" w:lineRule="auto"/>
        <w:ind w:firstLine="480" w:firstLineChars="200"/>
        <w:rPr>
          <w:rFonts w:hint="eastAsia" w:ascii="楷体" w:hAnsi="楷体" w:eastAsia="楷体" w:cs="楷体"/>
          <w:kern w:val="0"/>
          <w:sz w:val="24"/>
          <w:szCs w:val="21"/>
        </w:rPr>
      </w:pPr>
      <w:r>
        <w:rPr>
          <w:rFonts w:hint="eastAsia" w:ascii="楷体" w:hAnsi="楷体" w:eastAsia="楷体" w:cs="楷体"/>
          <w:kern w:val="0"/>
          <w:sz w:val="24"/>
          <w:szCs w:val="21"/>
        </w:rPr>
        <w:t>评委会将对确定为实质性响应磋商文件要求的投标文件进行评价和比较，评标采用综合评分法，总分为100分，按评审后得分由高到低顺序排列，得分相同的，按投标报价由低到高顺序排列，得分且投标报价相同的，按技术指标优劣顺序排列，评标委员会推荐</w:t>
      </w:r>
      <w:r>
        <w:rPr>
          <w:rFonts w:hint="eastAsia" w:ascii="楷体" w:hAnsi="楷体" w:eastAsia="楷体" w:cs="楷体"/>
          <w:kern w:val="0"/>
          <w:sz w:val="24"/>
          <w:szCs w:val="21"/>
          <w:lang w:eastAsia="zh-CN"/>
        </w:rPr>
        <w:t>第一</w:t>
      </w:r>
      <w:r>
        <w:rPr>
          <w:rFonts w:hint="eastAsia" w:ascii="楷体" w:hAnsi="楷体" w:eastAsia="楷体" w:cs="楷体"/>
          <w:kern w:val="0"/>
          <w:sz w:val="24"/>
          <w:szCs w:val="21"/>
          <w:lang w:val="en-US" w:eastAsia="zh-CN"/>
        </w:rPr>
        <w:t>名为</w:t>
      </w:r>
      <w:r>
        <w:rPr>
          <w:rFonts w:hint="eastAsia" w:ascii="楷体" w:hAnsi="楷体" w:eastAsia="楷体" w:cs="楷体"/>
          <w:kern w:val="0"/>
          <w:sz w:val="24"/>
          <w:szCs w:val="21"/>
        </w:rPr>
        <w:t>成交候选人。具体打分办法如下：</w:t>
      </w:r>
    </w:p>
    <w:p>
      <w:pPr>
        <w:pStyle w:val="40"/>
        <w:numPr>
          <w:ilvl w:val="0"/>
          <w:numId w:val="0"/>
        </w:numPr>
        <w:outlineLvl w:val="9"/>
        <w:rPr>
          <w:rFonts w:hint="eastAsia" w:ascii="楷体" w:hAnsi="楷体" w:eastAsia="楷体" w:cs="楷体"/>
          <w:snapToGrid w:val="0"/>
          <w:kern w:val="0"/>
        </w:rPr>
      </w:pPr>
      <w:bookmarkStart w:id="69" w:name="_Toc31574"/>
      <w:bookmarkStart w:id="70" w:name="_Toc27008"/>
      <w:bookmarkStart w:id="71" w:name="_Toc25132"/>
      <w:bookmarkStart w:id="72" w:name="_Toc743"/>
      <w:bookmarkStart w:id="73" w:name="_Toc26593"/>
      <w:r>
        <w:rPr>
          <w:rFonts w:hint="eastAsia" w:ascii="楷体" w:hAnsi="楷体" w:eastAsia="楷体" w:cs="楷体"/>
          <w:snapToGrid w:val="0"/>
          <w:kern w:val="0"/>
        </w:rPr>
        <w:t>二、评标标准</w:t>
      </w:r>
      <w:bookmarkEnd w:id="69"/>
      <w:bookmarkEnd w:id="70"/>
      <w:bookmarkEnd w:id="71"/>
      <w:bookmarkEnd w:id="72"/>
      <w:bookmarkEnd w:id="73"/>
    </w:p>
    <w:tbl>
      <w:tblPr>
        <w:tblStyle w:val="24"/>
        <w:tblpPr w:leftFromText="180" w:rightFromText="180" w:vertAnchor="text" w:horzAnchor="page" w:tblpX="1347" w:tblpY="294"/>
        <w:tblOverlap w:val="never"/>
        <w:tblW w:w="97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4"/>
        <w:gridCol w:w="7938"/>
        <w:gridCol w:w="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blHeader/>
        </w:trPr>
        <w:tc>
          <w:tcPr>
            <w:tcW w:w="1104" w:type="dxa"/>
            <w:vAlign w:val="center"/>
          </w:tcPr>
          <w:p>
            <w:pPr>
              <w:adjustRightInd w:val="0"/>
              <w:snapToGrid w:val="0"/>
              <w:jc w:val="center"/>
              <w:rPr>
                <w:rFonts w:ascii="宋体" w:hAnsi="宋体" w:cs="宋体"/>
                <w:b/>
                <w:color w:val="000000"/>
                <w:kern w:val="0"/>
                <w:sz w:val="24"/>
              </w:rPr>
            </w:pPr>
            <w:bookmarkStart w:id="74" w:name="_Toc29299"/>
            <w:r>
              <w:rPr>
                <w:rFonts w:hint="eastAsia" w:ascii="宋体" w:hAnsi="宋体" w:cs="宋体"/>
                <w:b/>
                <w:color w:val="000000"/>
                <w:kern w:val="0"/>
                <w:sz w:val="24"/>
              </w:rPr>
              <w:t>项目</w:t>
            </w:r>
          </w:p>
        </w:tc>
        <w:tc>
          <w:tcPr>
            <w:tcW w:w="7938" w:type="dxa"/>
            <w:vAlign w:val="center"/>
          </w:tcPr>
          <w:p>
            <w:pPr>
              <w:adjustRightInd w:val="0"/>
              <w:snapToGrid w:val="0"/>
              <w:jc w:val="center"/>
              <w:rPr>
                <w:rFonts w:ascii="宋体" w:hAnsi="宋体" w:cs="宋体"/>
                <w:b/>
                <w:color w:val="000000"/>
                <w:kern w:val="0"/>
                <w:sz w:val="24"/>
              </w:rPr>
            </w:pPr>
            <w:r>
              <w:rPr>
                <w:rFonts w:hint="eastAsia" w:ascii="宋体" w:hAnsi="宋体" w:cs="宋体"/>
                <w:b/>
                <w:color w:val="000000"/>
                <w:kern w:val="0"/>
                <w:sz w:val="24"/>
              </w:rPr>
              <w:t>评标细则</w:t>
            </w:r>
          </w:p>
        </w:tc>
        <w:tc>
          <w:tcPr>
            <w:tcW w:w="708" w:type="dxa"/>
            <w:vAlign w:val="center"/>
          </w:tcPr>
          <w:p>
            <w:pPr>
              <w:adjustRightInd w:val="0"/>
              <w:snapToGrid w:val="0"/>
              <w:jc w:val="center"/>
              <w:rPr>
                <w:rFonts w:ascii="宋体" w:hAnsi="宋体" w:cs="宋体"/>
                <w:b/>
                <w:color w:val="000000"/>
                <w:kern w:val="0"/>
                <w:sz w:val="24"/>
              </w:rPr>
            </w:pPr>
            <w:r>
              <w:rPr>
                <w:rFonts w:hint="eastAsia" w:ascii="宋体" w:hAnsi="宋体" w:cs="宋体"/>
                <w:b/>
                <w:color w:val="000000"/>
                <w:kern w:val="0"/>
                <w:sz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trPr>
        <w:tc>
          <w:tcPr>
            <w:tcW w:w="1104" w:type="dxa"/>
            <w:vAlign w:val="center"/>
          </w:tcPr>
          <w:p>
            <w:pPr>
              <w:adjustRightInd w:val="0"/>
              <w:snapToGrid w:val="0"/>
              <w:jc w:val="center"/>
              <w:rPr>
                <w:rFonts w:ascii="宋体" w:hAnsi="宋体" w:cs="宋体"/>
                <w:color w:val="000000"/>
                <w:sz w:val="24"/>
              </w:rPr>
            </w:pPr>
            <w:r>
              <w:rPr>
                <w:rFonts w:hint="eastAsia" w:ascii="宋体" w:hAnsi="宋体" w:cs="宋体"/>
                <w:color w:val="000000"/>
                <w:sz w:val="24"/>
              </w:rPr>
              <w:t>价格</w:t>
            </w:r>
          </w:p>
          <w:p>
            <w:pPr>
              <w:adjustRightInd w:val="0"/>
              <w:snapToGrid w:val="0"/>
              <w:jc w:val="center"/>
              <w:rPr>
                <w:rFonts w:ascii="宋体" w:hAnsi="宋体" w:cs="宋体"/>
                <w:color w:val="000000"/>
                <w:sz w:val="24"/>
              </w:rPr>
            </w:pPr>
            <w:r>
              <w:rPr>
                <w:rFonts w:hint="eastAsia" w:ascii="宋体" w:hAnsi="宋体" w:cs="宋体"/>
                <w:color w:val="000000"/>
                <w:sz w:val="24"/>
              </w:rPr>
              <w:t>（3</w:t>
            </w:r>
            <w:r>
              <w:rPr>
                <w:rFonts w:hint="eastAsia" w:ascii="宋体" w:hAnsi="宋体" w:cs="宋体"/>
                <w:color w:val="000000"/>
                <w:sz w:val="24"/>
                <w:lang w:val="en-US" w:eastAsia="zh-CN"/>
              </w:rPr>
              <w:t>5</w:t>
            </w:r>
            <w:r>
              <w:rPr>
                <w:rFonts w:hint="eastAsia" w:ascii="宋体" w:hAnsi="宋体" w:cs="宋体"/>
                <w:color w:val="000000"/>
                <w:sz w:val="24"/>
              </w:rPr>
              <w:t>分）</w:t>
            </w:r>
          </w:p>
        </w:tc>
        <w:tc>
          <w:tcPr>
            <w:tcW w:w="7938" w:type="dxa"/>
            <w:vAlign w:val="center"/>
          </w:tcPr>
          <w:p>
            <w:pPr>
              <w:rPr>
                <w:rFonts w:ascii="宋体" w:hAnsi="宋体" w:cs="宋体"/>
                <w:color w:val="000000"/>
                <w:sz w:val="24"/>
              </w:rPr>
            </w:pPr>
            <w:r>
              <w:rPr>
                <w:rFonts w:hint="eastAsia" w:ascii="宋体" w:hAnsi="宋体" w:cs="宋体"/>
                <w:color w:val="000000"/>
                <w:sz w:val="24"/>
              </w:rPr>
              <w:t>采用低价优先法计算，即满足招标文件要求且投标报价最低的为评标基准，其投标报价分为满分。其他投标人的投标折扣分按照下列公式计算：投标报价得分=（评标基准／投标折扣）×3</w:t>
            </w:r>
            <w:r>
              <w:rPr>
                <w:rFonts w:hint="eastAsia" w:ascii="宋体" w:hAnsi="宋体" w:cs="宋体"/>
                <w:color w:val="000000"/>
                <w:sz w:val="24"/>
                <w:lang w:val="en-US" w:eastAsia="zh-CN"/>
              </w:rPr>
              <w:t>5</w:t>
            </w:r>
            <w:r>
              <w:rPr>
                <w:rFonts w:hint="eastAsia" w:ascii="宋体" w:hAnsi="宋体" w:cs="宋体"/>
                <w:color w:val="000000"/>
                <w:sz w:val="24"/>
              </w:rPr>
              <w:t>.00（小数点保留两位）</w:t>
            </w:r>
          </w:p>
        </w:tc>
        <w:tc>
          <w:tcPr>
            <w:tcW w:w="708" w:type="dxa"/>
            <w:vAlign w:val="center"/>
          </w:tcPr>
          <w:p>
            <w:pPr>
              <w:pStyle w:val="89"/>
              <w:spacing w:before="0" w:line="240" w:lineRule="auto"/>
              <w:ind w:firstLine="0" w:firstLineChars="0"/>
              <w:rPr>
                <w:rFonts w:ascii="宋体" w:hAnsi="宋体" w:cs="宋体"/>
                <w:color w:val="000000"/>
                <w:szCs w:val="24"/>
              </w:rPr>
            </w:pPr>
            <w:r>
              <w:rPr>
                <w:rFonts w:hint="eastAsia" w:ascii="宋体" w:hAnsi="宋体" w:cs="宋体"/>
                <w:color w:val="000000"/>
                <w:szCs w:val="24"/>
              </w:rPr>
              <w:t>3</w:t>
            </w:r>
            <w:r>
              <w:rPr>
                <w:rFonts w:hint="eastAsia" w:ascii="宋体" w:hAnsi="宋体" w:cs="宋体"/>
                <w:color w:val="000000"/>
                <w:szCs w:val="24"/>
                <w:lang w:val="en-US" w:eastAsia="zh-CN"/>
              </w:rPr>
              <w:t>5</w:t>
            </w:r>
            <w:r>
              <w:rPr>
                <w:rFonts w:hint="eastAsia" w:ascii="宋体" w:hAnsi="宋体" w:cs="宋体"/>
                <w:color w:val="000000"/>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104" w:type="dxa"/>
            <w:vAlign w:val="center"/>
          </w:tcPr>
          <w:p>
            <w:pPr>
              <w:rPr>
                <w:rFonts w:ascii="宋体" w:hAnsi="宋体" w:cs="宋体"/>
                <w:color w:val="000000"/>
                <w:sz w:val="24"/>
              </w:rPr>
            </w:pPr>
            <w:r>
              <w:rPr>
                <w:rFonts w:hint="eastAsia" w:ascii="宋体" w:hAnsi="宋体" w:cs="宋体"/>
                <w:color w:val="000000"/>
                <w:sz w:val="24"/>
              </w:rPr>
              <w:t>实施</w:t>
            </w:r>
          </w:p>
          <w:p>
            <w:pPr>
              <w:rPr>
                <w:rFonts w:ascii="宋体" w:hAnsi="宋体" w:cs="宋体"/>
                <w:color w:val="000000"/>
                <w:sz w:val="24"/>
              </w:rPr>
            </w:pPr>
            <w:r>
              <w:rPr>
                <w:rFonts w:hint="eastAsia" w:ascii="宋体" w:hAnsi="宋体" w:cs="宋体"/>
                <w:color w:val="000000"/>
                <w:sz w:val="24"/>
              </w:rPr>
              <w:t>方案</w:t>
            </w:r>
          </w:p>
          <w:p>
            <w:pPr>
              <w:rPr>
                <w:rFonts w:ascii="宋体" w:hAnsi="宋体" w:cs="宋体"/>
                <w:color w:val="000000"/>
                <w:sz w:val="24"/>
              </w:rPr>
            </w:pPr>
            <w:r>
              <w:rPr>
                <w:rFonts w:hint="eastAsia" w:ascii="宋体" w:hAnsi="宋体" w:cs="宋体"/>
                <w:color w:val="000000"/>
                <w:sz w:val="24"/>
              </w:rPr>
              <w:t>（</w:t>
            </w:r>
            <w:r>
              <w:rPr>
                <w:rFonts w:hint="eastAsia" w:ascii="宋体" w:hAnsi="宋体" w:cs="宋体"/>
                <w:color w:val="000000"/>
                <w:sz w:val="24"/>
                <w:lang w:val="en-US" w:eastAsia="zh-CN"/>
              </w:rPr>
              <w:t>35</w:t>
            </w:r>
            <w:r>
              <w:rPr>
                <w:rFonts w:hint="eastAsia" w:ascii="宋体" w:hAnsi="宋体" w:cs="宋体"/>
                <w:color w:val="000000"/>
                <w:sz w:val="24"/>
              </w:rPr>
              <w:t>分）</w:t>
            </w:r>
          </w:p>
        </w:tc>
        <w:tc>
          <w:tcPr>
            <w:tcW w:w="7938" w:type="dxa"/>
            <w:vAlign w:val="center"/>
          </w:tcPr>
          <w:p>
            <w:pPr>
              <w:numPr>
                <w:ilvl w:val="0"/>
                <w:numId w:val="0"/>
              </w:numPr>
              <w:rPr>
                <w:rFonts w:hint="eastAsia" w:ascii="宋体" w:hAnsi="宋体" w:cs="宋体"/>
                <w:color w:val="000000"/>
                <w:sz w:val="24"/>
                <w:lang w:eastAsia="zh-CN"/>
              </w:rPr>
            </w:pPr>
            <w:r>
              <w:rPr>
                <w:rFonts w:hint="eastAsia" w:ascii="宋体" w:hAnsi="宋体" w:cs="宋体"/>
                <w:color w:val="000000"/>
                <w:sz w:val="24"/>
                <w:lang w:val="en-US" w:eastAsia="zh-CN"/>
              </w:rPr>
              <w:t>1.</w:t>
            </w:r>
            <w:r>
              <w:rPr>
                <w:rFonts w:hint="eastAsia" w:ascii="宋体" w:hAnsi="宋体" w:cs="宋体"/>
                <w:color w:val="000000"/>
                <w:sz w:val="24"/>
              </w:rPr>
              <w:t>项目实施总体方案描述准确、完整程度</w:t>
            </w:r>
            <w:r>
              <w:rPr>
                <w:rFonts w:hint="eastAsia" w:ascii="宋体" w:hAnsi="宋体" w:cs="宋体"/>
                <w:color w:val="000000"/>
                <w:sz w:val="24"/>
                <w:lang w:eastAsia="zh-CN"/>
              </w:rPr>
              <w:t>，总体方案科学有效、描述准确、方案完整度高</w:t>
            </w:r>
            <w:r>
              <w:rPr>
                <w:rFonts w:hint="eastAsia" w:ascii="宋体" w:hAnsi="宋体" w:cs="宋体"/>
                <w:color w:val="000000"/>
                <w:sz w:val="24"/>
              </w:rPr>
              <w:t>得</w:t>
            </w:r>
            <w:r>
              <w:rPr>
                <w:rFonts w:hint="eastAsia" w:ascii="宋体" w:hAnsi="宋体" w:cs="宋体"/>
                <w:color w:val="000000"/>
                <w:sz w:val="24"/>
                <w:lang w:val="en-US" w:eastAsia="zh-CN"/>
              </w:rPr>
              <w:t>5</w:t>
            </w:r>
            <w:r>
              <w:rPr>
                <w:rFonts w:hint="eastAsia" w:ascii="宋体" w:hAnsi="宋体" w:cs="宋体"/>
                <w:color w:val="000000"/>
                <w:sz w:val="24"/>
              </w:rPr>
              <w:t>分，项目实施总体方案描述</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基本</w:t>
            </w:r>
            <w:r>
              <w:rPr>
                <w:rFonts w:hint="eastAsia" w:ascii="宋体" w:hAnsi="宋体" w:cs="宋体"/>
                <w:color w:val="000000"/>
                <w:sz w:val="24"/>
              </w:rPr>
              <w:t>完整</w:t>
            </w:r>
            <w:r>
              <w:rPr>
                <w:rFonts w:hint="eastAsia" w:ascii="宋体" w:hAnsi="宋体" w:cs="宋体"/>
                <w:color w:val="000000"/>
                <w:sz w:val="24"/>
                <w:lang w:eastAsia="zh-CN"/>
              </w:rPr>
              <w:t>，可</w:t>
            </w:r>
            <w:r>
              <w:rPr>
                <w:rFonts w:hint="eastAsia" w:ascii="宋体" w:hAnsi="宋体" w:cs="宋体"/>
                <w:color w:val="000000"/>
                <w:sz w:val="24"/>
              </w:rPr>
              <w:t>得</w:t>
            </w:r>
            <w:r>
              <w:rPr>
                <w:rFonts w:hint="eastAsia" w:ascii="宋体" w:hAnsi="宋体" w:cs="宋体"/>
                <w:color w:val="000000"/>
                <w:sz w:val="24"/>
                <w:lang w:val="en-US" w:eastAsia="zh-CN"/>
              </w:rPr>
              <w:t>3</w:t>
            </w:r>
            <w:r>
              <w:rPr>
                <w:rFonts w:hint="eastAsia" w:ascii="宋体" w:hAnsi="宋体" w:cs="宋体"/>
                <w:color w:val="000000"/>
                <w:sz w:val="24"/>
              </w:rPr>
              <w:t>分</w:t>
            </w:r>
            <w:r>
              <w:rPr>
                <w:rFonts w:hint="eastAsia" w:ascii="宋体" w:hAnsi="宋体" w:cs="宋体"/>
                <w:color w:val="000000"/>
                <w:sz w:val="24"/>
                <w:lang w:eastAsia="zh-CN"/>
              </w:rPr>
              <w:t>，</w:t>
            </w:r>
            <w:r>
              <w:rPr>
                <w:rFonts w:hint="eastAsia" w:ascii="宋体" w:hAnsi="宋体" w:cs="宋体"/>
                <w:color w:val="000000"/>
                <w:sz w:val="24"/>
              </w:rPr>
              <w:t>项目实施总体方案描述</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且不太</w:t>
            </w:r>
            <w:r>
              <w:rPr>
                <w:rFonts w:hint="eastAsia" w:ascii="宋体" w:hAnsi="宋体" w:cs="宋体"/>
                <w:color w:val="000000"/>
                <w:sz w:val="24"/>
              </w:rPr>
              <w:t>完整</w:t>
            </w:r>
            <w:r>
              <w:rPr>
                <w:rFonts w:hint="eastAsia" w:ascii="宋体" w:hAnsi="宋体" w:cs="宋体"/>
                <w:color w:val="000000"/>
                <w:sz w:val="24"/>
                <w:lang w:eastAsia="zh-CN"/>
              </w:rPr>
              <w:t>，得</w:t>
            </w:r>
            <w:r>
              <w:rPr>
                <w:rFonts w:hint="eastAsia" w:ascii="宋体" w:hAnsi="宋体" w:cs="宋体"/>
                <w:color w:val="000000"/>
                <w:sz w:val="24"/>
                <w:lang w:val="en-US" w:eastAsia="zh-CN"/>
              </w:rPr>
              <w:t>1分，无总体方案描述本项不得分。</w:t>
            </w:r>
          </w:p>
          <w:p>
            <w:pPr>
              <w:pStyle w:val="2"/>
              <w:rPr>
                <w:rFonts w:hint="eastAsia"/>
                <w:lang w:eastAsia="zh-CN"/>
              </w:rPr>
            </w:pPr>
          </w:p>
          <w:p>
            <w:pPr>
              <w:numPr>
                <w:ilvl w:val="0"/>
                <w:numId w:val="0"/>
              </w:numPr>
              <w:ind w:leftChars="0"/>
              <w:rPr>
                <w:rFonts w:hint="eastAsia" w:ascii="宋体" w:hAnsi="宋体" w:cs="宋体"/>
                <w:color w:val="000000"/>
                <w:sz w:val="24"/>
                <w:lang w:eastAsia="zh-CN"/>
              </w:rPr>
            </w:pPr>
            <w:r>
              <w:rPr>
                <w:rFonts w:hint="eastAsia" w:ascii="宋体" w:hAnsi="宋体" w:cs="宋体"/>
                <w:color w:val="000000"/>
                <w:sz w:val="24"/>
                <w:lang w:val="en-US" w:eastAsia="zh-CN"/>
              </w:rPr>
              <w:t>2.</w:t>
            </w:r>
            <w:r>
              <w:rPr>
                <w:rFonts w:hint="eastAsia" w:ascii="宋体" w:hAnsi="宋体" w:cs="宋体"/>
                <w:color w:val="000000"/>
                <w:sz w:val="24"/>
              </w:rPr>
              <w:t>实施现场设施布置描述的准确、</w:t>
            </w:r>
            <w:r>
              <w:rPr>
                <w:rFonts w:hint="eastAsia" w:ascii="宋体" w:hAnsi="宋体" w:cs="宋体"/>
                <w:color w:val="000000"/>
                <w:sz w:val="24"/>
                <w:lang w:eastAsia="zh-CN"/>
              </w:rPr>
              <w:t>内容</w:t>
            </w:r>
            <w:r>
              <w:rPr>
                <w:rFonts w:hint="eastAsia" w:ascii="宋体" w:hAnsi="宋体" w:cs="宋体"/>
                <w:color w:val="000000"/>
                <w:sz w:val="24"/>
              </w:rPr>
              <w:t>完整得5分，实施现场设施布置描述的</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内容基本</w:t>
            </w:r>
            <w:r>
              <w:rPr>
                <w:rFonts w:hint="eastAsia" w:ascii="宋体" w:hAnsi="宋体" w:cs="宋体"/>
                <w:color w:val="000000"/>
                <w:sz w:val="24"/>
              </w:rPr>
              <w:t>完整</w:t>
            </w:r>
            <w:r>
              <w:rPr>
                <w:rFonts w:hint="eastAsia" w:ascii="宋体" w:hAnsi="宋体" w:cs="宋体"/>
                <w:color w:val="000000"/>
                <w:sz w:val="24"/>
                <w:lang w:eastAsia="zh-CN"/>
              </w:rPr>
              <w:t>得</w:t>
            </w:r>
            <w:r>
              <w:rPr>
                <w:rFonts w:hint="eastAsia" w:ascii="宋体" w:hAnsi="宋体" w:cs="宋体"/>
                <w:color w:val="000000"/>
                <w:sz w:val="24"/>
              </w:rPr>
              <w:t>3分，实施现场设施布置描述的</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内容</w:t>
            </w:r>
            <w:r>
              <w:rPr>
                <w:rFonts w:hint="eastAsia" w:ascii="宋体" w:hAnsi="宋体" w:cs="宋体"/>
                <w:color w:val="000000"/>
                <w:sz w:val="24"/>
              </w:rPr>
              <w:t>完整</w:t>
            </w:r>
            <w:r>
              <w:rPr>
                <w:rFonts w:hint="eastAsia" w:ascii="宋体" w:hAnsi="宋体" w:cs="宋体"/>
                <w:color w:val="000000"/>
                <w:sz w:val="24"/>
                <w:lang w:eastAsia="zh-CN"/>
              </w:rPr>
              <w:t>度一般得</w:t>
            </w:r>
            <w:r>
              <w:rPr>
                <w:rFonts w:hint="eastAsia" w:ascii="宋体" w:hAnsi="宋体" w:cs="宋体"/>
                <w:color w:val="000000"/>
                <w:sz w:val="24"/>
              </w:rPr>
              <w:t>1分，没有</w:t>
            </w:r>
            <w:r>
              <w:rPr>
                <w:rFonts w:hint="eastAsia" w:ascii="宋体" w:hAnsi="宋体" w:cs="宋体"/>
                <w:color w:val="000000"/>
                <w:sz w:val="24"/>
                <w:lang w:eastAsia="zh-CN"/>
              </w:rPr>
              <w:t>此项描述</w:t>
            </w:r>
            <w:r>
              <w:rPr>
                <w:rFonts w:hint="eastAsia" w:ascii="宋体" w:hAnsi="宋体" w:cs="宋体"/>
                <w:color w:val="000000"/>
                <w:sz w:val="24"/>
              </w:rPr>
              <w:t>不得分</w:t>
            </w:r>
            <w:r>
              <w:rPr>
                <w:rFonts w:hint="eastAsia" w:ascii="宋体" w:hAnsi="宋体" w:cs="宋体"/>
                <w:color w:val="000000"/>
                <w:sz w:val="24"/>
                <w:lang w:eastAsia="zh-CN"/>
              </w:rPr>
              <w:t>。</w:t>
            </w:r>
          </w:p>
          <w:p>
            <w:pPr>
              <w:pStyle w:val="2"/>
              <w:numPr>
                <w:ilvl w:val="0"/>
                <w:numId w:val="0"/>
              </w:numPr>
              <w:ind w:leftChars="0"/>
              <w:rPr>
                <w:rFonts w:hint="eastAsia"/>
                <w:lang w:eastAsia="zh-CN"/>
              </w:rPr>
            </w:pPr>
          </w:p>
          <w:p>
            <w:pPr>
              <w:rPr>
                <w:rFonts w:hint="default" w:ascii="宋体" w:hAnsi="宋体" w:cs="宋体"/>
                <w:color w:val="000000"/>
                <w:sz w:val="24"/>
                <w:lang w:val="en-US" w:eastAsia="zh-CN"/>
              </w:rPr>
            </w:pPr>
            <w:r>
              <w:rPr>
                <w:rFonts w:hint="eastAsia" w:ascii="宋体" w:hAnsi="宋体" w:cs="宋体"/>
                <w:color w:val="000000"/>
                <w:sz w:val="24"/>
              </w:rPr>
              <w:t>3. 实施进度计划和各阶段进度的保证措施。描述的准确、完整</w:t>
            </w:r>
            <w:r>
              <w:rPr>
                <w:rFonts w:hint="eastAsia" w:ascii="宋体" w:hAnsi="宋体" w:cs="宋体"/>
                <w:color w:val="000000"/>
                <w:sz w:val="24"/>
                <w:lang w:eastAsia="zh-CN"/>
              </w:rPr>
              <w:t>的可得</w:t>
            </w:r>
            <w:r>
              <w:rPr>
                <w:rFonts w:hint="eastAsia" w:ascii="宋体" w:hAnsi="宋体" w:cs="宋体"/>
                <w:color w:val="000000"/>
                <w:sz w:val="24"/>
                <w:lang w:val="en-US" w:eastAsia="zh-CN"/>
              </w:rPr>
              <w:t>5分；</w:t>
            </w:r>
            <w:r>
              <w:rPr>
                <w:rFonts w:hint="eastAsia" w:ascii="宋体" w:hAnsi="宋体" w:cs="宋体"/>
                <w:color w:val="000000"/>
                <w:sz w:val="24"/>
              </w:rPr>
              <w:t xml:space="preserve"> 实施进度计划和各阶段进度的保证措施描述的</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基本</w:t>
            </w:r>
            <w:r>
              <w:rPr>
                <w:rFonts w:hint="eastAsia" w:ascii="宋体" w:hAnsi="宋体" w:cs="宋体"/>
                <w:color w:val="000000"/>
                <w:sz w:val="24"/>
              </w:rPr>
              <w:t>完整</w:t>
            </w:r>
            <w:r>
              <w:rPr>
                <w:rFonts w:hint="eastAsia" w:ascii="宋体" w:hAnsi="宋体" w:cs="宋体"/>
                <w:color w:val="000000"/>
                <w:sz w:val="24"/>
                <w:lang w:eastAsia="zh-CN"/>
              </w:rPr>
              <w:t>的可得</w:t>
            </w:r>
            <w:r>
              <w:rPr>
                <w:rFonts w:hint="eastAsia" w:ascii="宋体" w:hAnsi="宋体" w:cs="宋体"/>
                <w:color w:val="000000"/>
                <w:sz w:val="24"/>
                <w:lang w:val="en-US" w:eastAsia="zh-CN"/>
              </w:rPr>
              <w:t>3分，</w:t>
            </w:r>
            <w:r>
              <w:rPr>
                <w:rFonts w:hint="eastAsia" w:ascii="宋体" w:hAnsi="宋体" w:cs="宋体"/>
                <w:color w:val="000000"/>
                <w:sz w:val="24"/>
              </w:rPr>
              <w:t>实施进度计划和各阶段进度的保证措施描述的</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不太</w:t>
            </w:r>
            <w:r>
              <w:rPr>
                <w:rFonts w:hint="eastAsia" w:ascii="宋体" w:hAnsi="宋体" w:cs="宋体"/>
                <w:color w:val="000000"/>
                <w:sz w:val="24"/>
              </w:rPr>
              <w:t>完整</w:t>
            </w:r>
            <w:r>
              <w:rPr>
                <w:rFonts w:hint="eastAsia" w:ascii="宋体" w:hAnsi="宋体" w:cs="宋体"/>
                <w:color w:val="000000"/>
                <w:sz w:val="24"/>
                <w:lang w:eastAsia="zh-CN"/>
              </w:rPr>
              <w:t>的可得</w:t>
            </w:r>
            <w:r>
              <w:rPr>
                <w:rFonts w:hint="eastAsia" w:ascii="宋体" w:hAnsi="宋体" w:cs="宋体"/>
                <w:color w:val="000000"/>
                <w:sz w:val="24"/>
                <w:lang w:val="en-US" w:eastAsia="zh-CN"/>
              </w:rPr>
              <w:t>1分，无此项描述的不得分。</w:t>
            </w:r>
          </w:p>
          <w:p>
            <w:pPr>
              <w:rPr>
                <w:rFonts w:hint="default" w:ascii="宋体" w:hAnsi="宋体" w:cs="宋体"/>
                <w:color w:val="000000"/>
                <w:sz w:val="24"/>
                <w:lang w:val="en-US" w:eastAsia="zh-CN"/>
              </w:rPr>
            </w:pPr>
          </w:p>
          <w:p>
            <w:pPr>
              <w:numPr>
                <w:ilvl w:val="0"/>
                <w:numId w:val="3"/>
              </w:numPr>
              <w:ind w:leftChars="0"/>
              <w:rPr>
                <w:rFonts w:hint="eastAsia" w:ascii="宋体" w:hAnsi="宋体" w:cs="宋体"/>
                <w:color w:val="000000"/>
                <w:sz w:val="24"/>
                <w:lang w:val="en-US" w:eastAsia="zh-CN"/>
              </w:rPr>
            </w:pPr>
            <w:r>
              <w:rPr>
                <w:rFonts w:hint="eastAsia" w:ascii="宋体" w:hAnsi="宋体" w:cs="宋体"/>
                <w:color w:val="000000"/>
                <w:sz w:val="24"/>
              </w:rPr>
              <w:t>实施现场投资控制管理方案的保证措施。描述的准确、完整</w:t>
            </w:r>
            <w:r>
              <w:rPr>
                <w:rFonts w:hint="eastAsia" w:ascii="宋体" w:hAnsi="宋体" w:cs="宋体"/>
                <w:color w:val="000000"/>
                <w:sz w:val="24"/>
                <w:lang w:eastAsia="zh-CN"/>
              </w:rPr>
              <w:t>可</w:t>
            </w:r>
            <w:r>
              <w:rPr>
                <w:rFonts w:hint="eastAsia" w:ascii="宋体" w:hAnsi="宋体" w:cs="宋体"/>
                <w:color w:val="000000"/>
                <w:sz w:val="24"/>
              </w:rPr>
              <w:t>得5分，实施现场投资控制管理方案的保证措施描述的</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基本</w:t>
            </w:r>
            <w:r>
              <w:rPr>
                <w:rFonts w:hint="eastAsia" w:ascii="宋体" w:hAnsi="宋体" w:cs="宋体"/>
                <w:color w:val="000000"/>
                <w:sz w:val="24"/>
              </w:rPr>
              <w:t>完整</w:t>
            </w:r>
            <w:r>
              <w:rPr>
                <w:rFonts w:hint="eastAsia" w:ascii="宋体" w:hAnsi="宋体" w:cs="宋体"/>
                <w:color w:val="000000"/>
                <w:sz w:val="24"/>
                <w:lang w:eastAsia="zh-CN"/>
              </w:rPr>
              <w:t>可</w:t>
            </w:r>
            <w:r>
              <w:rPr>
                <w:rFonts w:hint="eastAsia" w:ascii="宋体" w:hAnsi="宋体" w:cs="宋体"/>
                <w:color w:val="000000"/>
                <w:sz w:val="24"/>
              </w:rPr>
              <w:t>得</w:t>
            </w:r>
            <w:r>
              <w:rPr>
                <w:rFonts w:hint="eastAsia" w:ascii="宋体" w:hAnsi="宋体" w:cs="宋体"/>
                <w:color w:val="000000"/>
                <w:sz w:val="24"/>
                <w:lang w:val="en-US" w:eastAsia="zh-CN"/>
              </w:rPr>
              <w:t>3分，</w:t>
            </w:r>
            <w:r>
              <w:rPr>
                <w:rFonts w:hint="eastAsia" w:ascii="宋体" w:hAnsi="宋体" w:cs="宋体"/>
                <w:color w:val="000000"/>
                <w:sz w:val="24"/>
              </w:rPr>
              <w:t>实施现场投资控制管理方案的保证措施描述的</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不太</w:t>
            </w:r>
            <w:r>
              <w:rPr>
                <w:rFonts w:hint="eastAsia" w:ascii="宋体" w:hAnsi="宋体" w:cs="宋体"/>
                <w:color w:val="000000"/>
                <w:sz w:val="24"/>
              </w:rPr>
              <w:t>完整</w:t>
            </w:r>
            <w:r>
              <w:rPr>
                <w:rFonts w:hint="eastAsia" w:ascii="宋体" w:hAnsi="宋体" w:cs="宋体"/>
                <w:color w:val="000000"/>
                <w:sz w:val="24"/>
                <w:lang w:eastAsia="zh-CN"/>
              </w:rPr>
              <w:t>可</w:t>
            </w:r>
            <w:r>
              <w:rPr>
                <w:rFonts w:hint="eastAsia" w:ascii="宋体" w:hAnsi="宋体" w:cs="宋体"/>
                <w:color w:val="000000"/>
                <w:sz w:val="24"/>
              </w:rPr>
              <w:t>得</w:t>
            </w:r>
            <w:r>
              <w:rPr>
                <w:rFonts w:hint="eastAsia" w:ascii="宋体" w:hAnsi="宋体" w:cs="宋体"/>
                <w:color w:val="000000"/>
                <w:sz w:val="24"/>
                <w:lang w:val="en-US" w:eastAsia="zh-CN"/>
              </w:rPr>
              <w:t>1分，无此项描述不得分</w:t>
            </w:r>
          </w:p>
          <w:p>
            <w:pPr>
              <w:pStyle w:val="2"/>
              <w:numPr>
                <w:ilvl w:val="0"/>
                <w:numId w:val="0"/>
              </w:numPr>
              <w:rPr>
                <w:rFonts w:hint="eastAsia"/>
                <w:lang w:val="en-US" w:eastAsia="zh-CN"/>
              </w:rPr>
            </w:pPr>
          </w:p>
          <w:p>
            <w:pPr>
              <w:numPr>
                <w:ilvl w:val="0"/>
                <w:numId w:val="3"/>
              </w:numPr>
              <w:ind w:left="0" w:leftChars="0" w:firstLine="0" w:firstLineChars="0"/>
              <w:rPr>
                <w:rFonts w:hint="eastAsia" w:ascii="宋体" w:hAnsi="宋体" w:cs="宋体"/>
                <w:color w:val="000000"/>
                <w:sz w:val="24"/>
                <w:lang w:eastAsia="zh-CN"/>
              </w:rPr>
            </w:pPr>
            <w:r>
              <w:rPr>
                <w:rFonts w:hint="eastAsia" w:ascii="宋体" w:hAnsi="宋体" w:cs="宋体"/>
                <w:color w:val="000000"/>
                <w:sz w:val="24"/>
              </w:rPr>
              <w:t>项目实施方案及质量保证措施。描述的准确、完整</w:t>
            </w:r>
            <w:r>
              <w:rPr>
                <w:rFonts w:hint="eastAsia" w:ascii="宋体" w:hAnsi="宋体" w:cs="宋体"/>
                <w:color w:val="000000"/>
                <w:sz w:val="24"/>
                <w:lang w:eastAsia="zh-CN"/>
              </w:rPr>
              <w:t>可</w:t>
            </w:r>
            <w:r>
              <w:rPr>
                <w:rFonts w:hint="eastAsia" w:ascii="宋体" w:hAnsi="宋体" w:cs="宋体"/>
                <w:color w:val="000000"/>
                <w:sz w:val="24"/>
              </w:rPr>
              <w:t>得5分，项目实施方案及质量保证措施描述的</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基本</w:t>
            </w:r>
            <w:r>
              <w:rPr>
                <w:rFonts w:hint="eastAsia" w:ascii="宋体" w:hAnsi="宋体" w:cs="宋体"/>
                <w:color w:val="000000"/>
                <w:sz w:val="24"/>
              </w:rPr>
              <w:t>完整</w:t>
            </w:r>
            <w:r>
              <w:rPr>
                <w:rFonts w:hint="eastAsia" w:ascii="宋体" w:hAnsi="宋体" w:cs="宋体"/>
                <w:color w:val="000000"/>
                <w:sz w:val="24"/>
                <w:lang w:eastAsia="zh-CN"/>
              </w:rPr>
              <w:t>可</w:t>
            </w:r>
            <w:r>
              <w:rPr>
                <w:rFonts w:hint="eastAsia" w:ascii="宋体" w:hAnsi="宋体" w:cs="宋体"/>
                <w:color w:val="000000"/>
                <w:sz w:val="24"/>
              </w:rPr>
              <w:t>得</w:t>
            </w:r>
            <w:r>
              <w:rPr>
                <w:rFonts w:hint="eastAsia" w:ascii="宋体" w:hAnsi="宋体" w:cs="宋体"/>
                <w:color w:val="000000"/>
                <w:sz w:val="24"/>
                <w:lang w:val="en-US" w:eastAsia="zh-CN"/>
              </w:rPr>
              <w:t>3</w:t>
            </w:r>
            <w:r>
              <w:rPr>
                <w:rFonts w:hint="eastAsia" w:ascii="宋体" w:hAnsi="宋体" w:cs="宋体"/>
                <w:color w:val="000000"/>
                <w:sz w:val="24"/>
              </w:rPr>
              <w:t>分</w:t>
            </w:r>
            <w:r>
              <w:rPr>
                <w:rFonts w:hint="eastAsia" w:ascii="宋体" w:hAnsi="宋体" w:cs="宋体"/>
                <w:color w:val="000000"/>
                <w:sz w:val="24"/>
                <w:lang w:eastAsia="zh-CN"/>
              </w:rPr>
              <w:t>，</w:t>
            </w:r>
            <w:r>
              <w:rPr>
                <w:rFonts w:hint="eastAsia" w:ascii="宋体" w:hAnsi="宋体" w:cs="宋体"/>
                <w:color w:val="000000"/>
                <w:sz w:val="24"/>
              </w:rPr>
              <w:t>项目实施方案及质量保证措施描述的</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不太</w:t>
            </w:r>
            <w:r>
              <w:rPr>
                <w:rFonts w:hint="eastAsia" w:ascii="宋体" w:hAnsi="宋体" w:cs="宋体"/>
                <w:color w:val="000000"/>
                <w:sz w:val="24"/>
              </w:rPr>
              <w:t>完整</w:t>
            </w:r>
            <w:r>
              <w:rPr>
                <w:rFonts w:hint="eastAsia" w:ascii="宋体" w:hAnsi="宋体" w:cs="宋体"/>
                <w:color w:val="000000"/>
                <w:sz w:val="24"/>
                <w:lang w:eastAsia="zh-CN"/>
              </w:rPr>
              <w:t>可</w:t>
            </w:r>
            <w:r>
              <w:rPr>
                <w:rFonts w:hint="eastAsia" w:ascii="宋体" w:hAnsi="宋体" w:cs="宋体"/>
                <w:color w:val="000000"/>
                <w:sz w:val="24"/>
              </w:rPr>
              <w:t>得</w:t>
            </w:r>
            <w:r>
              <w:rPr>
                <w:rFonts w:hint="eastAsia" w:ascii="宋体" w:hAnsi="宋体" w:cs="宋体"/>
                <w:color w:val="000000"/>
                <w:sz w:val="24"/>
                <w:lang w:val="en-US" w:eastAsia="zh-CN"/>
              </w:rPr>
              <w:t>1</w:t>
            </w:r>
            <w:r>
              <w:rPr>
                <w:rFonts w:hint="eastAsia" w:ascii="宋体" w:hAnsi="宋体" w:cs="宋体"/>
                <w:color w:val="000000"/>
                <w:sz w:val="24"/>
              </w:rPr>
              <w:t>分</w:t>
            </w:r>
            <w:r>
              <w:rPr>
                <w:rFonts w:hint="eastAsia" w:ascii="宋体" w:hAnsi="宋体" w:cs="宋体"/>
                <w:color w:val="000000"/>
                <w:sz w:val="24"/>
                <w:lang w:eastAsia="zh-CN"/>
              </w:rPr>
              <w:t>，无此项描述</w:t>
            </w:r>
            <w:r>
              <w:rPr>
                <w:rFonts w:hint="eastAsia" w:ascii="宋体" w:hAnsi="宋体" w:cs="宋体"/>
                <w:color w:val="000000"/>
                <w:sz w:val="24"/>
              </w:rPr>
              <w:t>不得分</w:t>
            </w:r>
            <w:r>
              <w:rPr>
                <w:rFonts w:hint="eastAsia" w:ascii="宋体" w:hAnsi="宋体" w:cs="宋体"/>
                <w:color w:val="000000"/>
                <w:sz w:val="24"/>
                <w:lang w:eastAsia="zh-CN"/>
              </w:rPr>
              <w:t>；</w:t>
            </w:r>
          </w:p>
          <w:p>
            <w:pPr>
              <w:pStyle w:val="2"/>
              <w:numPr>
                <w:ilvl w:val="0"/>
                <w:numId w:val="0"/>
              </w:numPr>
              <w:ind w:leftChars="0"/>
              <w:rPr>
                <w:rFonts w:hint="eastAsia"/>
                <w:lang w:eastAsia="zh-CN"/>
              </w:rPr>
            </w:pPr>
          </w:p>
          <w:p>
            <w:pPr>
              <w:numPr>
                <w:ilvl w:val="0"/>
                <w:numId w:val="3"/>
              </w:numPr>
              <w:ind w:left="0" w:leftChars="0" w:firstLine="0" w:firstLineChars="0"/>
              <w:rPr>
                <w:rFonts w:hint="eastAsia" w:ascii="宋体" w:hAnsi="宋体" w:cs="宋体"/>
                <w:color w:val="000000"/>
                <w:sz w:val="24"/>
              </w:rPr>
            </w:pPr>
            <w:r>
              <w:rPr>
                <w:rFonts w:hint="eastAsia" w:ascii="宋体" w:hAnsi="宋体" w:cs="宋体"/>
                <w:color w:val="000000"/>
                <w:sz w:val="24"/>
              </w:rPr>
              <w:t>安全文明实施及环境保护措施。描述的准确、完整得5分，安全文明实施及环境保护措施描述的</w:t>
            </w:r>
            <w:r>
              <w:rPr>
                <w:rFonts w:hint="eastAsia" w:ascii="宋体" w:hAnsi="宋体" w:cs="宋体"/>
                <w:color w:val="000000"/>
                <w:sz w:val="24"/>
                <w:lang w:eastAsia="zh-CN"/>
              </w:rPr>
              <w:t>基本</w:t>
            </w:r>
            <w:r>
              <w:rPr>
                <w:rFonts w:hint="eastAsia" w:ascii="宋体" w:hAnsi="宋体" w:cs="宋体"/>
                <w:color w:val="000000"/>
                <w:sz w:val="24"/>
              </w:rPr>
              <w:t>准确、</w:t>
            </w:r>
            <w:r>
              <w:rPr>
                <w:rFonts w:hint="eastAsia" w:ascii="宋体" w:hAnsi="宋体" w:cs="宋体"/>
                <w:color w:val="000000"/>
                <w:sz w:val="24"/>
                <w:lang w:eastAsia="zh-CN"/>
              </w:rPr>
              <w:t>基本</w:t>
            </w:r>
            <w:r>
              <w:rPr>
                <w:rFonts w:hint="eastAsia" w:ascii="宋体" w:hAnsi="宋体" w:cs="宋体"/>
                <w:color w:val="000000"/>
                <w:sz w:val="24"/>
              </w:rPr>
              <w:t>完整得3分，安全文明实施及环境保护措施描述的</w:t>
            </w:r>
            <w:r>
              <w:rPr>
                <w:rFonts w:hint="eastAsia" w:ascii="宋体" w:hAnsi="宋体" w:cs="宋体"/>
                <w:color w:val="000000"/>
                <w:sz w:val="24"/>
                <w:lang w:eastAsia="zh-CN"/>
              </w:rPr>
              <w:t>不太</w:t>
            </w:r>
            <w:r>
              <w:rPr>
                <w:rFonts w:hint="eastAsia" w:ascii="宋体" w:hAnsi="宋体" w:cs="宋体"/>
                <w:color w:val="000000"/>
                <w:sz w:val="24"/>
              </w:rPr>
              <w:t>准确、</w:t>
            </w:r>
            <w:r>
              <w:rPr>
                <w:rFonts w:hint="eastAsia" w:ascii="宋体" w:hAnsi="宋体" w:cs="宋体"/>
                <w:color w:val="000000"/>
                <w:sz w:val="24"/>
                <w:lang w:eastAsia="zh-CN"/>
              </w:rPr>
              <w:t>不太</w:t>
            </w:r>
            <w:r>
              <w:rPr>
                <w:rFonts w:hint="eastAsia" w:ascii="宋体" w:hAnsi="宋体" w:cs="宋体"/>
                <w:color w:val="000000"/>
                <w:sz w:val="24"/>
              </w:rPr>
              <w:t>完整得</w:t>
            </w:r>
            <w:r>
              <w:rPr>
                <w:rFonts w:hint="eastAsia" w:ascii="宋体" w:hAnsi="宋体" w:cs="宋体"/>
                <w:color w:val="000000"/>
                <w:sz w:val="24"/>
                <w:lang w:val="en-US" w:eastAsia="zh-CN"/>
              </w:rPr>
              <w:t>1分，</w:t>
            </w:r>
            <w:r>
              <w:rPr>
                <w:rFonts w:hint="eastAsia" w:ascii="宋体" w:hAnsi="宋体" w:cs="宋体"/>
                <w:color w:val="000000"/>
                <w:sz w:val="24"/>
                <w:lang w:eastAsia="zh-CN"/>
              </w:rPr>
              <w:t>无此项描述</w:t>
            </w:r>
            <w:r>
              <w:rPr>
                <w:rFonts w:hint="eastAsia" w:ascii="宋体" w:hAnsi="宋体" w:cs="宋体"/>
                <w:color w:val="000000"/>
                <w:sz w:val="24"/>
              </w:rPr>
              <w:t>不得分；</w:t>
            </w:r>
          </w:p>
          <w:p>
            <w:pPr>
              <w:pStyle w:val="2"/>
              <w:numPr>
                <w:ilvl w:val="0"/>
                <w:numId w:val="0"/>
              </w:numPr>
              <w:ind w:leftChars="0"/>
            </w:pPr>
          </w:p>
          <w:p>
            <w:pPr>
              <w:rPr>
                <w:rFonts w:hint="default" w:ascii="宋体" w:hAnsi="宋体" w:eastAsia="宋体" w:cs="宋体"/>
                <w:color w:val="000000"/>
                <w:sz w:val="24"/>
                <w:lang w:val="en-US" w:eastAsia="zh-CN"/>
              </w:rPr>
            </w:pPr>
            <w:r>
              <w:rPr>
                <w:rFonts w:hint="eastAsia" w:ascii="宋体" w:hAnsi="宋体" w:cs="宋体"/>
                <w:color w:val="000000"/>
                <w:sz w:val="24"/>
                <w:lang w:val="en-US" w:eastAsia="zh-CN"/>
              </w:rPr>
              <w:t>7</w:t>
            </w:r>
            <w:r>
              <w:rPr>
                <w:rFonts w:hint="eastAsia" w:ascii="宋体" w:hAnsi="宋体" w:cs="宋体"/>
                <w:color w:val="000000"/>
                <w:sz w:val="24"/>
              </w:rPr>
              <w:t>. 项目实施的重点、难点和解决方案，对照有关规范及自身经验提出建设性建议和意见</w:t>
            </w:r>
            <w:r>
              <w:rPr>
                <w:rFonts w:hint="eastAsia" w:ascii="宋体" w:hAnsi="宋体" w:cs="宋体"/>
                <w:color w:val="000000"/>
                <w:sz w:val="24"/>
                <w:lang w:eastAsia="zh-CN"/>
              </w:rPr>
              <w:t>，方案科学、完整度高、可实施性强的可得</w:t>
            </w:r>
            <w:r>
              <w:rPr>
                <w:rFonts w:hint="eastAsia" w:ascii="宋体" w:hAnsi="宋体" w:cs="宋体"/>
                <w:color w:val="000000"/>
                <w:sz w:val="24"/>
              </w:rPr>
              <w:t>5分，</w:t>
            </w:r>
            <w:r>
              <w:rPr>
                <w:rFonts w:hint="eastAsia" w:ascii="宋体" w:hAnsi="宋体" w:cs="宋体"/>
                <w:color w:val="000000"/>
                <w:sz w:val="24"/>
                <w:lang w:eastAsia="zh-CN"/>
              </w:rPr>
              <w:t>方案基本完整，仅有参考性可得</w:t>
            </w:r>
            <w:r>
              <w:rPr>
                <w:rFonts w:hint="eastAsia" w:ascii="宋体" w:hAnsi="宋体" w:cs="宋体"/>
                <w:color w:val="000000"/>
                <w:sz w:val="24"/>
                <w:lang w:val="en-US" w:eastAsia="zh-CN"/>
              </w:rPr>
              <w:t>3分，方案不</w:t>
            </w:r>
            <w:r>
              <w:rPr>
                <w:rFonts w:hint="eastAsia" w:ascii="宋体" w:hAnsi="宋体" w:cs="宋体"/>
                <w:color w:val="000000"/>
                <w:sz w:val="24"/>
                <w:lang w:eastAsia="zh-CN"/>
              </w:rPr>
              <w:t>太</w:t>
            </w:r>
            <w:r>
              <w:rPr>
                <w:rFonts w:hint="eastAsia" w:ascii="宋体" w:hAnsi="宋体" w:cs="宋体"/>
                <w:color w:val="000000"/>
                <w:sz w:val="24"/>
                <w:lang w:val="en-US" w:eastAsia="zh-CN"/>
              </w:rPr>
              <w:t>完整、不</w:t>
            </w:r>
            <w:r>
              <w:rPr>
                <w:rFonts w:hint="eastAsia" w:ascii="宋体" w:hAnsi="宋体" w:cs="宋体"/>
                <w:color w:val="000000"/>
                <w:sz w:val="24"/>
                <w:lang w:eastAsia="zh-CN"/>
              </w:rPr>
              <w:t>太</w:t>
            </w:r>
            <w:r>
              <w:rPr>
                <w:rFonts w:hint="eastAsia" w:ascii="宋体" w:hAnsi="宋体" w:cs="宋体"/>
                <w:color w:val="000000"/>
                <w:sz w:val="24"/>
                <w:lang w:val="en-US" w:eastAsia="zh-CN"/>
              </w:rPr>
              <w:t>科学，不太有参考性可得1分。无此项方案不得分。</w:t>
            </w:r>
          </w:p>
        </w:tc>
        <w:tc>
          <w:tcPr>
            <w:tcW w:w="708" w:type="dxa"/>
            <w:vAlign w:val="center"/>
          </w:tcPr>
          <w:p>
            <w:pPr>
              <w:widowControl/>
              <w:jc w:val="center"/>
              <w:rPr>
                <w:rFonts w:ascii="宋体" w:hAnsi="宋体" w:cs="宋体"/>
                <w:color w:val="000000"/>
                <w:sz w:val="24"/>
              </w:rPr>
            </w:pPr>
            <w:r>
              <w:rPr>
                <w:rFonts w:hint="eastAsia" w:ascii="宋体" w:hAnsi="宋体" w:cs="宋体"/>
                <w:color w:val="000000"/>
                <w:sz w:val="24"/>
                <w:lang w:val="en-US" w:eastAsia="zh-CN"/>
              </w:rPr>
              <w:t>35</w:t>
            </w:r>
            <w:r>
              <w:rPr>
                <w:rFonts w:hint="eastAsia" w:ascii="宋体" w:hAnsi="宋体" w:cs="宋体"/>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1104" w:type="dxa"/>
            <w:vMerge w:val="restart"/>
            <w:vAlign w:val="center"/>
          </w:tcPr>
          <w:p>
            <w:pPr>
              <w:widowControl/>
              <w:jc w:val="left"/>
              <w:rPr>
                <w:rFonts w:ascii="宋体" w:hAnsi="宋体" w:cs="宋体"/>
                <w:color w:val="000000"/>
                <w:sz w:val="24"/>
              </w:rPr>
            </w:pPr>
            <w:r>
              <w:rPr>
                <w:rFonts w:hint="eastAsia" w:ascii="宋体" w:hAnsi="宋体" w:cs="宋体"/>
                <w:color w:val="000000"/>
                <w:sz w:val="24"/>
              </w:rPr>
              <w:t>企业信誉及实力</w:t>
            </w:r>
          </w:p>
          <w:p>
            <w:pPr>
              <w:widowControl/>
              <w:jc w:val="left"/>
              <w:rPr>
                <w:rFonts w:ascii="宋体" w:hAnsi="宋体" w:cs="宋体"/>
                <w:color w:val="000000"/>
                <w:sz w:val="24"/>
              </w:rPr>
            </w:pPr>
            <w:r>
              <w:rPr>
                <w:rFonts w:hint="eastAsia" w:ascii="宋体" w:hAnsi="宋体" w:cs="宋体"/>
                <w:color w:val="000000"/>
                <w:sz w:val="24"/>
              </w:rPr>
              <w:t>（9分）</w:t>
            </w:r>
          </w:p>
        </w:tc>
        <w:tc>
          <w:tcPr>
            <w:tcW w:w="7938" w:type="dxa"/>
            <w:vAlign w:val="center"/>
          </w:tcPr>
          <w:p>
            <w:pPr>
              <w:rPr>
                <w:rFonts w:ascii="宋体" w:hAnsi="宋体" w:cs="宋体"/>
                <w:color w:val="000000"/>
                <w:sz w:val="24"/>
              </w:rPr>
            </w:pPr>
            <w:r>
              <w:rPr>
                <w:rFonts w:hint="eastAsia" w:ascii="宋体" w:hAnsi="宋体" w:cs="宋体"/>
                <w:color w:val="000000"/>
                <w:sz w:val="24"/>
              </w:rPr>
              <w:t xml:space="preserve">1. 现场项目管理机构人员配备（满分3分） </w:t>
            </w:r>
          </w:p>
          <w:p>
            <w:pPr>
              <w:rPr>
                <w:rFonts w:ascii="宋体" w:hAnsi="宋体" w:cs="宋体"/>
                <w:color w:val="000000"/>
                <w:sz w:val="24"/>
              </w:rPr>
            </w:pPr>
            <w:r>
              <w:rPr>
                <w:rFonts w:hint="eastAsia" w:ascii="宋体" w:hAnsi="宋体" w:cs="宋体"/>
                <w:color w:val="000000"/>
                <w:sz w:val="24"/>
              </w:rPr>
              <w:t>（1）项目管理机构主要管理人员（指项目负责人、质量员、安全员），需配备的主要管理人员数量不少于：项目负责人1名，质量员2名，安全员2名。（满足上述人员基本配备要求的得3分。）</w:t>
            </w:r>
          </w:p>
        </w:tc>
        <w:tc>
          <w:tcPr>
            <w:tcW w:w="708" w:type="dxa"/>
            <w:vAlign w:val="center"/>
          </w:tcPr>
          <w:p>
            <w:pPr>
              <w:widowControl/>
              <w:jc w:val="center"/>
              <w:rPr>
                <w:rFonts w:ascii="宋体" w:hAnsi="宋体" w:cs="宋体"/>
                <w:color w:val="000000"/>
                <w:sz w:val="24"/>
              </w:rPr>
            </w:pPr>
            <w:r>
              <w:rPr>
                <w:rFonts w:hint="eastAsia" w:ascii="宋体" w:hAnsi="宋体" w:cs="宋体"/>
                <w:color w:val="000000"/>
                <w:sz w:val="24"/>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104" w:type="dxa"/>
            <w:vMerge w:val="continue"/>
            <w:vAlign w:val="center"/>
          </w:tcPr>
          <w:p>
            <w:pPr>
              <w:widowControl/>
              <w:jc w:val="left"/>
              <w:rPr>
                <w:rFonts w:ascii="宋体" w:hAnsi="宋体" w:cs="宋体"/>
                <w:color w:val="000000"/>
                <w:sz w:val="24"/>
              </w:rPr>
            </w:pPr>
          </w:p>
        </w:tc>
        <w:tc>
          <w:tcPr>
            <w:tcW w:w="7938" w:type="dxa"/>
            <w:vAlign w:val="center"/>
          </w:tcPr>
          <w:p>
            <w:pPr>
              <w:rPr>
                <w:rFonts w:ascii="宋体" w:hAnsi="宋体" w:cs="宋体"/>
                <w:color w:val="000000"/>
                <w:sz w:val="24"/>
              </w:rPr>
            </w:pPr>
            <w:r>
              <w:rPr>
                <w:rFonts w:hint="eastAsia" w:ascii="宋体" w:hAnsi="宋体" w:cs="宋体"/>
                <w:color w:val="000000"/>
                <w:sz w:val="24"/>
              </w:rPr>
              <w:t>2．信誉、认证、奖项（满分6分）</w:t>
            </w:r>
          </w:p>
          <w:p>
            <w:pPr>
              <w:rPr>
                <w:rFonts w:ascii="宋体" w:hAnsi="宋体" w:cs="宋体"/>
                <w:color w:val="000000"/>
                <w:sz w:val="24"/>
              </w:rPr>
            </w:pPr>
            <w:r>
              <w:rPr>
                <w:rFonts w:hint="eastAsia" w:ascii="宋体" w:hAnsi="宋体" w:cs="宋体"/>
                <w:color w:val="000000"/>
                <w:sz w:val="24"/>
              </w:rPr>
              <w:t>（2）投标人具有质量、环境、安全三项认证证书的得</w:t>
            </w:r>
            <w:r>
              <w:rPr>
                <w:rFonts w:hint="eastAsia" w:ascii="宋体" w:hAnsi="宋体" w:cs="宋体"/>
                <w:color w:val="000000"/>
                <w:sz w:val="24"/>
                <w:lang w:val="en-US" w:eastAsia="zh-CN"/>
              </w:rPr>
              <w:t>6</w:t>
            </w:r>
            <w:r>
              <w:rPr>
                <w:rFonts w:hint="eastAsia" w:ascii="宋体" w:hAnsi="宋体" w:cs="宋体"/>
                <w:color w:val="000000"/>
                <w:sz w:val="24"/>
              </w:rPr>
              <w:t>分，缺一项扣</w:t>
            </w:r>
            <w:r>
              <w:rPr>
                <w:rFonts w:hint="eastAsia" w:ascii="宋体" w:hAnsi="宋体" w:cs="宋体"/>
                <w:color w:val="000000"/>
                <w:sz w:val="24"/>
                <w:lang w:val="en-US" w:eastAsia="zh-CN"/>
              </w:rPr>
              <w:t>2</w:t>
            </w:r>
            <w:r>
              <w:rPr>
                <w:rFonts w:hint="eastAsia" w:ascii="宋体" w:hAnsi="宋体" w:cs="宋体"/>
                <w:color w:val="000000"/>
                <w:sz w:val="24"/>
              </w:rPr>
              <w:t>分。（提供证书原件核查）</w:t>
            </w:r>
          </w:p>
        </w:tc>
        <w:tc>
          <w:tcPr>
            <w:tcW w:w="708" w:type="dxa"/>
            <w:vAlign w:val="center"/>
          </w:tcPr>
          <w:p>
            <w:pPr>
              <w:widowControl/>
              <w:jc w:val="center"/>
              <w:rPr>
                <w:rFonts w:ascii="宋体" w:hAnsi="宋体" w:cs="宋体"/>
                <w:color w:val="000000"/>
                <w:sz w:val="24"/>
              </w:rPr>
            </w:pPr>
            <w:r>
              <w:rPr>
                <w:rFonts w:hint="eastAsia" w:ascii="宋体" w:hAnsi="宋体" w:cs="宋体"/>
                <w:color w:val="000000"/>
                <w:sz w:val="24"/>
              </w:rPr>
              <w:t>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104" w:type="dxa"/>
            <w:shd w:val="clear" w:color="auto" w:fill="auto"/>
            <w:vAlign w:val="center"/>
          </w:tcPr>
          <w:p>
            <w:pPr>
              <w:pStyle w:val="89"/>
              <w:spacing w:line="240" w:lineRule="auto"/>
              <w:ind w:firstLine="0" w:firstLineChars="0"/>
              <w:rPr>
                <w:rFonts w:ascii="宋体" w:hAnsi="宋体" w:cs="宋体"/>
                <w:color w:val="000000"/>
                <w:szCs w:val="24"/>
              </w:rPr>
            </w:pPr>
            <w:r>
              <w:rPr>
                <w:rFonts w:hint="eastAsia" w:ascii="宋体" w:hAnsi="宋体" w:cs="宋体"/>
                <w:color w:val="000000"/>
                <w:szCs w:val="24"/>
              </w:rPr>
              <w:t>业绩</w:t>
            </w:r>
          </w:p>
          <w:p>
            <w:pPr>
              <w:pStyle w:val="89"/>
              <w:spacing w:line="240" w:lineRule="auto"/>
              <w:ind w:firstLine="0" w:firstLineChars="0"/>
              <w:rPr>
                <w:rFonts w:ascii="宋体" w:hAnsi="宋体" w:cs="宋体"/>
                <w:color w:val="000000"/>
                <w:szCs w:val="24"/>
              </w:rPr>
            </w:pPr>
            <w:r>
              <w:rPr>
                <w:rFonts w:hint="eastAsia" w:ascii="宋体" w:hAnsi="宋体" w:cs="宋体"/>
                <w:color w:val="000000"/>
                <w:szCs w:val="24"/>
              </w:rPr>
              <w:t>（</w:t>
            </w:r>
            <w:r>
              <w:rPr>
                <w:rFonts w:hint="eastAsia" w:ascii="宋体" w:hAnsi="宋体" w:cs="宋体"/>
                <w:color w:val="000000"/>
                <w:szCs w:val="24"/>
                <w:lang w:val="en-US" w:eastAsia="zh-CN"/>
              </w:rPr>
              <w:t>12</w:t>
            </w:r>
            <w:r>
              <w:rPr>
                <w:rFonts w:hint="eastAsia" w:ascii="宋体" w:hAnsi="宋体" w:cs="宋体"/>
                <w:color w:val="000000"/>
                <w:szCs w:val="24"/>
              </w:rPr>
              <w:t>分）</w:t>
            </w:r>
          </w:p>
        </w:tc>
        <w:tc>
          <w:tcPr>
            <w:tcW w:w="7938" w:type="dxa"/>
            <w:shd w:val="clear" w:color="auto" w:fill="auto"/>
          </w:tcPr>
          <w:p>
            <w:pPr>
              <w:pStyle w:val="89"/>
              <w:spacing w:before="0" w:line="240" w:lineRule="auto"/>
              <w:ind w:firstLine="0" w:firstLineChars="0"/>
              <w:rPr>
                <w:rFonts w:hint="eastAsia" w:ascii="宋体" w:hAnsi="宋体" w:eastAsia="宋体" w:cs="宋体"/>
                <w:color w:val="000000"/>
                <w:sz w:val="24"/>
                <w:szCs w:val="24"/>
              </w:rPr>
            </w:pPr>
            <w:r>
              <w:rPr>
                <w:rFonts w:hint="eastAsia" w:ascii="宋体" w:hAnsi="宋体" w:eastAsia="宋体" w:cs="宋体"/>
                <w:color w:val="000000"/>
                <w:sz w:val="24"/>
                <w:szCs w:val="24"/>
              </w:rPr>
              <w:t>企业业绩（满分</w:t>
            </w:r>
            <w:r>
              <w:rPr>
                <w:rFonts w:hint="eastAsia" w:ascii="宋体" w:hAnsi="宋体" w:eastAsia="宋体" w:cs="宋体"/>
                <w:color w:val="000000"/>
                <w:sz w:val="24"/>
                <w:szCs w:val="24"/>
                <w:lang w:val="en-US" w:eastAsia="zh-CN"/>
              </w:rPr>
              <w:t>12</w:t>
            </w:r>
            <w:r>
              <w:rPr>
                <w:rFonts w:hint="eastAsia" w:ascii="宋体" w:hAnsi="宋体" w:eastAsia="宋体" w:cs="宋体"/>
                <w:color w:val="000000"/>
                <w:sz w:val="24"/>
                <w:szCs w:val="24"/>
              </w:rPr>
              <w:t>分）</w:t>
            </w:r>
          </w:p>
          <w:p>
            <w:pPr>
              <w:pStyle w:val="89"/>
              <w:spacing w:before="0" w:line="240" w:lineRule="auto"/>
              <w:ind w:firstLine="0" w:firstLineChars="0"/>
              <w:rPr>
                <w:rFonts w:ascii="宋体" w:hAnsi="宋体" w:cs="宋体"/>
                <w:color w:val="000000"/>
                <w:szCs w:val="24"/>
              </w:rPr>
            </w:pPr>
            <w:r>
              <w:rPr>
                <w:rFonts w:hint="eastAsia" w:ascii="宋体" w:hAnsi="宋体" w:eastAsia="宋体" w:cs="宋体"/>
                <w:sz w:val="24"/>
                <w:szCs w:val="24"/>
              </w:rPr>
              <w:t>2018年1</w:t>
            </w:r>
            <w:r>
              <w:rPr>
                <w:rFonts w:hint="eastAsia" w:ascii="宋体" w:hAnsi="宋体" w:eastAsia="宋体" w:cs="宋体"/>
                <w:color w:val="000000"/>
                <w:sz w:val="24"/>
                <w:szCs w:val="24"/>
              </w:rPr>
              <w:t>月1日以来企业从事过类似业绩的有一个得3分，最多得</w:t>
            </w:r>
            <w:r>
              <w:rPr>
                <w:rFonts w:hint="eastAsia" w:ascii="宋体" w:hAnsi="宋体" w:eastAsia="宋体" w:cs="宋体"/>
                <w:color w:val="000000"/>
                <w:sz w:val="24"/>
                <w:szCs w:val="24"/>
                <w:lang w:val="en-US" w:eastAsia="zh-CN"/>
              </w:rPr>
              <w:t>12</w:t>
            </w:r>
            <w:r>
              <w:rPr>
                <w:rFonts w:hint="eastAsia" w:ascii="宋体" w:hAnsi="宋体" w:eastAsia="宋体" w:cs="宋体"/>
                <w:color w:val="000000"/>
                <w:sz w:val="24"/>
                <w:szCs w:val="24"/>
              </w:rPr>
              <w:t>分；（需提供合同原件备查，时间、金额以合同为准，提供的证明材料必须能反映出相关数据和内容，否则视为未提供）。</w:t>
            </w:r>
          </w:p>
        </w:tc>
        <w:tc>
          <w:tcPr>
            <w:tcW w:w="708" w:type="dxa"/>
            <w:vAlign w:val="center"/>
          </w:tcPr>
          <w:p>
            <w:pPr>
              <w:pStyle w:val="89"/>
              <w:spacing w:line="240" w:lineRule="auto"/>
              <w:ind w:firstLine="0" w:firstLineChars="0"/>
              <w:rPr>
                <w:rFonts w:ascii="宋体" w:hAnsi="宋体" w:cs="宋体"/>
                <w:color w:val="000000"/>
                <w:kern w:val="0"/>
                <w:szCs w:val="24"/>
              </w:rPr>
            </w:pPr>
            <w:r>
              <w:rPr>
                <w:rFonts w:hint="eastAsia" w:ascii="宋体" w:hAnsi="宋体" w:cs="宋体"/>
                <w:color w:val="000000"/>
                <w:szCs w:val="24"/>
                <w:lang w:val="en-US" w:eastAsia="zh-CN"/>
              </w:rPr>
              <w:t>12</w:t>
            </w:r>
            <w:r>
              <w:rPr>
                <w:rFonts w:hint="eastAsia" w:ascii="宋体" w:hAnsi="宋体" w:cs="宋体"/>
                <w:color w:val="000000"/>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7" w:hRule="atLeast"/>
        </w:trPr>
        <w:tc>
          <w:tcPr>
            <w:tcW w:w="1104" w:type="dxa"/>
            <w:shd w:val="clear" w:color="auto" w:fill="auto"/>
            <w:vAlign w:val="center"/>
          </w:tcPr>
          <w:p>
            <w:pPr>
              <w:rPr>
                <w:rFonts w:ascii="宋体" w:hAnsi="宋体" w:cs="宋体"/>
                <w:color w:val="000000"/>
                <w:sz w:val="24"/>
              </w:rPr>
            </w:pPr>
            <w:r>
              <w:rPr>
                <w:rFonts w:hint="eastAsia" w:ascii="宋体" w:hAnsi="宋体" w:cs="宋体"/>
                <w:color w:val="000000"/>
                <w:sz w:val="24"/>
              </w:rPr>
              <w:t>服务承诺（</w:t>
            </w:r>
            <w:r>
              <w:rPr>
                <w:rFonts w:hint="eastAsia" w:ascii="宋体" w:hAnsi="宋体" w:cs="宋体"/>
                <w:color w:val="000000"/>
                <w:sz w:val="24"/>
                <w:lang w:val="en-US" w:eastAsia="zh-CN"/>
              </w:rPr>
              <w:t>6</w:t>
            </w:r>
            <w:r>
              <w:rPr>
                <w:rFonts w:hint="eastAsia" w:ascii="宋体" w:hAnsi="宋体" w:cs="宋体"/>
                <w:color w:val="000000"/>
                <w:sz w:val="24"/>
              </w:rPr>
              <w:t>分）</w:t>
            </w:r>
          </w:p>
        </w:tc>
        <w:tc>
          <w:tcPr>
            <w:tcW w:w="7938" w:type="dxa"/>
            <w:shd w:val="clear" w:color="auto" w:fill="auto"/>
            <w:vAlign w:val="center"/>
          </w:tcPr>
          <w:p>
            <w:pPr>
              <w:rPr>
                <w:rFonts w:ascii="宋体" w:hAnsi="宋体" w:cs="宋体"/>
                <w:color w:val="000000"/>
                <w:sz w:val="24"/>
                <w:szCs w:val="24"/>
              </w:rPr>
            </w:pPr>
            <w:r>
              <w:rPr>
                <w:rFonts w:hint="eastAsia" w:ascii="宋体" w:hAnsi="宋体" w:cs="宋体"/>
                <w:sz w:val="24"/>
                <w:szCs w:val="24"/>
              </w:rPr>
              <w:t>提供其他利于项目实施的承诺，根据实施承诺综合打分，实施承诺最完整、具体、可行性高得6分；实施承诺较完整、具体、可行性高得3分；实施承诺较少、模糊、可行性较差得1分；不提供不得分。</w:t>
            </w:r>
          </w:p>
        </w:tc>
        <w:tc>
          <w:tcPr>
            <w:tcW w:w="708" w:type="dxa"/>
            <w:vAlign w:val="center"/>
          </w:tcPr>
          <w:p>
            <w:pPr>
              <w:widowControl/>
              <w:jc w:val="center"/>
              <w:rPr>
                <w:rFonts w:ascii="宋体" w:hAnsi="宋体" w:cs="宋体"/>
                <w:color w:val="000000"/>
                <w:sz w:val="24"/>
                <w:szCs w:val="24"/>
              </w:rPr>
            </w:pPr>
            <w:r>
              <w:rPr>
                <w:rFonts w:hint="eastAsia" w:ascii="宋体" w:hAnsi="宋体" w:cs="宋体"/>
                <w:color w:val="000000"/>
                <w:sz w:val="24"/>
                <w:szCs w:val="24"/>
                <w:lang w:val="en-US" w:eastAsia="zh-CN"/>
              </w:rPr>
              <w:t>6</w:t>
            </w:r>
            <w:r>
              <w:rPr>
                <w:rFonts w:hint="eastAsia" w:ascii="宋体" w:hAnsi="宋体" w:cs="宋体"/>
                <w:color w:val="00000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trPr>
        <w:tc>
          <w:tcPr>
            <w:tcW w:w="1104" w:type="dxa"/>
            <w:shd w:val="clear" w:color="auto" w:fill="auto"/>
            <w:vAlign w:val="center"/>
          </w:tcPr>
          <w:p>
            <w:pPr>
              <w:rPr>
                <w:rFonts w:ascii="宋体" w:hAnsi="宋体" w:cs="宋体"/>
                <w:color w:val="000000"/>
                <w:sz w:val="24"/>
              </w:rPr>
            </w:pPr>
            <w:r>
              <w:rPr>
                <w:rFonts w:hint="eastAsia" w:ascii="宋体" w:hAnsi="宋体" w:cs="宋体"/>
                <w:color w:val="000000"/>
                <w:sz w:val="24"/>
              </w:rPr>
              <w:t>对招标文件的响应程度（</w:t>
            </w:r>
            <w:r>
              <w:rPr>
                <w:rFonts w:hint="eastAsia" w:ascii="宋体" w:hAnsi="宋体" w:cs="宋体"/>
                <w:color w:val="000000"/>
                <w:sz w:val="24"/>
                <w:lang w:val="en-US" w:eastAsia="zh-CN"/>
              </w:rPr>
              <w:t>3</w:t>
            </w:r>
            <w:r>
              <w:rPr>
                <w:rFonts w:hint="eastAsia" w:ascii="宋体" w:hAnsi="宋体" w:cs="宋体"/>
                <w:color w:val="000000"/>
                <w:sz w:val="24"/>
              </w:rPr>
              <w:t>分）</w:t>
            </w:r>
            <w:r>
              <w:rPr>
                <w:rFonts w:hint="eastAsia" w:ascii="宋体" w:hAnsi="宋体" w:cs="宋体"/>
                <w:color w:val="000000"/>
                <w:sz w:val="24"/>
              </w:rPr>
              <w:tab/>
            </w:r>
          </w:p>
        </w:tc>
        <w:tc>
          <w:tcPr>
            <w:tcW w:w="7938" w:type="dxa"/>
            <w:shd w:val="clear" w:color="auto" w:fill="auto"/>
            <w:vAlign w:val="center"/>
          </w:tcPr>
          <w:p>
            <w:pPr>
              <w:rPr>
                <w:rFonts w:ascii="宋体" w:hAnsi="宋体" w:cs="宋体"/>
                <w:color w:val="000000"/>
                <w:sz w:val="24"/>
                <w:szCs w:val="24"/>
              </w:rPr>
            </w:pPr>
            <w:r>
              <w:rPr>
                <w:rFonts w:hint="eastAsia" w:ascii="宋体" w:hAnsi="宋体" w:cs="宋体"/>
                <w:sz w:val="24"/>
                <w:szCs w:val="24"/>
              </w:rPr>
              <w:t>根据投标文件对招标文件的响应程度评分，按招标文件要求</w:t>
            </w:r>
            <w:r>
              <w:rPr>
                <w:rFonts w:hint="eastAsia" w:ascii="宋体" w:hAnsi="宋体"/>
                <w:sz w:val="24"/>
                <w:szCs w:val="24"/>
              </w:rPr>
              <w:t>编制完整、格式规范、内容齐全、表述准确、条理清晰，内容无前后矛盾得</w:t>
            </w:r>
            <w:r>
              <w:rPr>
                <w:rFonts w:hint="eastAsia" w:ascii="宋体" w:hAnsi="宋体"/>
                <w:sz w:val="24"/>
                <w:szCs w:val="24"/>
                <w:lang w:val="en-US" w:eastAsia="zh-CN"/>
              </w:rPr>
              <w:t>3</w:t>
            </w:r>
            <w:r>
              <w:rPr>
                <w:rFonts w:hint="eastAsia" w:ascii="宋体" w:hAnsi="宋体"/>
                <w:sz w:val="24"/>
                <w:szCs w:val="24"/>
              </w:rPr>
              <w:t>分</w:t>
            </w:r>
            <w:r>
              <w:rPr>
                <w:rFonts w:hint="eastAsia" w:ascii="宋体" w:hAnsi="宋体" w:cs="宋体"/>
                <w:sz w:val="24"/>
                <w:szCs w:val="24"/>
              </w:rPr>
              <w:t>；按招标文件要求</w:t>
            </w:r>
            <w:r>
              <w:rPr>
                <w:rFonts w:hint="eastAsia" w:ascii="宋体" w:hAnsi="宋体"/>
                <w:sz w:val="24"/>
                <w:szCs w:val="24"/>
              </w:rPr>
              <w:t>编制较完整、内容较齐全、表述较准确、条理清晰，内容无前后矛盾得</w:t>
            </w:r>
            <w:r>
              <w:rPr>
                <w:rFonts w:hint="eastAsia" w:ascii="宋体" w:hAnsi="宋体"/>
                <w:sz w:val="24"/>
                <w:szCs w:val="24"/>
                <w:lang w:val="en-US" w:eastAsia="zh-CN"/>
              </w:rPr>
              <w:t>2</w:t>
            </w:r>
            <w:r>
              <w:rPr>
                <w:rFonts w:hint="eastAsia" w:ascii="宋体" w:hAnsi="宋体"/>
                <w:sz w:val="24"/>
                <w:szCs w:val="24"/>
              </w:rPr>
              <w:t>分，编制凌乱、格式不规范、内容缺失、表述不太准确、，内容有前后矛盾得1分；不提供不得</w:t>
            </w:r>
          </w:p>
        </w:tc>
        <w:tc>
          <w:tcPr>
            <w:tcW w:w="708" w:type="dxa"/>
            <w:vAlign w:val="center"/>
          </w:tcPr>
          <w:p>
            <w:pPr>
              <w:widowControl/>
              <w:jc w:val="center"/>
              <w:rPr>
                <w:rFonts w:ascii="宋体" w:hAnsi="宋体" w:cs="宋体"/>
                <w:color w:val="000000"/>
                <w:sz w:val="24"/>
                <w:szCs w:val="24"/>
              </w:rPr>
            </w:pPr>
            <w:r>
              <w:rPr>
                <w:rFonts w:hint="eastAsia" w:ascii="宋体" w:hAnsi="宋体" w:cs="宋体"/>
                <w:color w:val="000000"/>
                <w:sz w:val="24"/>
                <w:szCs w:val="24"/>
                <w:lang w:val="en-US" w:eastAsia="zh-CN"/>
              </w:rPr>
              <w:t>3</w:t>
            </w:r>
            <w:r>
              <w:rPr>
                <w:rFonts w:hint="eastAsia" w:ascii="宋体" w:hAnsi="宋体" w:cs="宋体"/>
                <w:color w:val="000000"/>
                <w:sz w:val="24"/>
                <w:szCs w:val="24"/>
              </w:rPr>
              <w:t>分</w:t>
            </w:r>
          </w:p>
        </w:tc>
      </w:tr>
    </w:tbl>
    <w:p>
      <w:pPr>
        <w:spacing w:after="156" w:line="280" w:lineRule="exact"/>
        <w:rPr>
          <w:rFonts w:hint="eastAsia" w:ascii="楷体" w:hAnsi="楷体" w:eastAsia="楷体" w:cs="楷体"/>
          <w:kern w:val="0"/>
          <w:sz w:val="24"/>
          <w:szCs w:val="21"/>
          <w:lang w:val="en-US" w:eastAsia="zh-CN" w:bidi="ar-SA"/>
        </w:rPr>
      </w:pPr>
    </w:p>
    <w:p>
      <w:pPr>
        <w:spacing w:after="156" w:line="280" w:lineRule="exact"/>
        <w:rPr>
          <w:rFonts w:hint="eastAsia" w:ascii="楷体" w:hAnsi="楷体" w:eastAsia="楷体" w:cs="楷体"/>
          <w:kern w:val="0"/>
          <w:sz w:val="24"/>
          <w:szCs w:val="21"/>
          <w:lang w:val="en-US" w:eastAsia="zh-CN" w:bidi="ar-SA"/>
        </w:rPr>
      </w:pPr>
    </w:p>
    <w:p>
      <w:pPr>
        <w:spacing w:after="156" w:line="280" w:lineRule="exact"/>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备注：1、投标人应提供以上条款中涉及的全部资料的复印件并加盖单位公章。</w:t>
      </w:r>
    </w:p>
    <w:p>
      <w:pPr>
        <w:spacing w:after="156" w:line="280" w:lineRule="exact"/>
        <w:ind w:left="718" w:leftChars="342" w:firstLine="0" w:firstLineChars="0"/>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2、评标委员会成员按照上述评分细则进行评审、打分，项目实施方案由评委各自独立打分，所有评委打分的平均值即为该投标人该项的得分。</w:t>
      </w:r>
    </w:p>
    <w:p>
      <w:pPr>
        <w:pStyle w:val="43"/>
        <w:spacing w:after="319"/>
        <w:rPr>
          <w:rFonts w:hint="eastAsia" w:ascii="楷体" w:hAnsi="楷体" w:eastAsia="楷体" w:cs="楷体"/>
        </w:rPr>
      </w:pPr>
    </w:p>
    <w:p>
      <w:pPr>
        <w:pStyle w:val="43"/>
        <w:spacing w:after="319"/>
        <w:rPr>
          <w:rFonts w:hint="eastAsia" w:ascii="楷体" w:hAnsi="楷体" w:eastAsia="楷体" w:cs="楷体"/>
        </w:rPr>
      </w:pPr>
    </w:p>
    <w:p>
      <w:pPr>
        <w:pStyle w:val="43"/>
        <w:spacing w:after="319"/>
        <w:rPr>
          <w:rFonts w:hint="eastAsia" w:ascii="楷体" w:hAnsi="楷体" w:eastAsia="楷体" w:cs="楷体"/>
        </w:rPr>
      </w:pPr>
    </w:p>
    <w:p>
      <w:pPr>
        <w:pStyle w:val="43"/>
        <w:spacing w:after="319"/>
        <w:rPr>
          <w:rFonts w:hint="eastAsia" w:ascii="楷体" w:hAnsi="楷体" w:eastAsia="楷体" w:cs="楷体"/>
        </w:rPr>
      </w:pPr>
    </w:p>
    <w:p>
      <w:pPr>
        <w:pStyle w:val="43"/>
        <w:spacing w:after="319"/>
        <w:rPr>
          <w:rFonts w:hint="eastAsia" w:ascii="楷体" w:hAnsi="楷体" w:eastAsia="楷体" w:cs="楷体"/>
        </w:rPr>
      </w:pPr>
    </w:p>
    <w:p>
      <w:pPr>
        <w:pStyle w:val="43"/>
        <w:spacing w:after="319"/>
        <w:rPr>
          <w:rFonts w:ascii="楷体" w:hAnsi="楷体" w:eastAsia="楷体" w:cs="楷体"/>
        </w:rPr>
      </w:pPr>
      <w:r>
        <w:rPr>
          <w:rFonts w:hint="eastAsia" w:ascii="楷体" w:hAnsi="楷体" w:eastAsia="楷体" w:cs="楷体"/>
        </w:rPr>
        <w:t>第五章  磋商响应文件格式</w:t>
      </w:r>
      <w:bookmarkEnd w:id="74"/>
    </w:p>
    <w:bookmarkEnd w:id="55"/>
    <w:bookmarkEnd w:id="56"/>
    <w:bookmarkEnd w:id="57"/>
    <w:bookmarkEnd w:id="65"/>
    <w:bookmarkEnd w:id="66"/>
    <w:bookmarkEnd w:id="67"/>
    <w:p>
      <w:pPr>
        <w:jc w:val="center"/>
        <w:rPr>
          <w:rFonts w:ascii="楷体" w:hAnsi="楷体" w:eastAsia="楷体" w:cs="楷体"/>
          <w:b/>
          <w:bCs/>
          <w:sz w:val="72"/>
          <w:szCs w:val="72"/>
        </w:rPr>
      </w:pPr>
      <w:bookmarkStart w:id="75" w:name="_Toc49090576"/>
      <w:bookmarkStart w:id="76" w:name="_Toc120614282"/>
      <w:bookmarkStart w:id="77" w:name="_Toc26554094"/>
    </w:p>
    <w:p>
      <w:pPr>
        <w:jc w:val="center"/>
        <w:rPr>
          <w:rFonts w:ascii="楷体" w:hAnsi="楷体" w:eastAsia="楷体" w:cs="楷体"/>
          <w:b/>
          <w:bCs/>
          <w:sz w:val="72"/>
          <w:szCs w:val="72"/>
        </w:rPr>
      </w:pPr>
    </w:p>
    <w:p>
      <w:pPr>
        <w:jc w:val="center"/>
        <w:rPr>
          <w:rFonts w:ascii="楷体" w:hAnsi="楷体" w:eastAsia="楷体" w:cs="楷体"/>
          <w:b/>
          <w:bCs/>
          <w:sz w:val="96"/>
          <w:szCs w:val="96"/>
        </w:rPr>
      </w:pPr>
      <w:r>
        <w:rPr>
          <w:rFonts w:hint="eastAsia" w:ascii="楷体" w:hAnsi="楷体" w:eastAsia="楷体" w:cs="楷体"/>
          <w:b/>
          <w:bCs/>
          <w:sz w:val="72"/>
          <w:szCs w:val="72"/>
        </w:rPr>
        <w:t>竞争性磋商响应文件</w:t>
      </w:r>
    </w:p>
    <w:p>
      <w:pPr>
        <w:jc w:val="center"/>
        <w:rPr>
          <w:rFonts w:ascii="楷体" w:hAnsi="楷体" w:eastAsia="楷体" w:cs="楷体"/>
          <w:b/>
          <w:bCs/>
          <w:sz w:val="52"/>
          <w:szCs w:val="52"/>
        </w:rPr>
      </w:pPr>
      <w:r>
        <w:rPr>
          <w:rFonts w:hint="eastAsia" w:ascii="楷体" w:hAnsi="楷体" w:eastAsia="楷体" w:cs="楷体"/>
          <w:b/>
          <w:bCs/>
          <w:sz w:val="52"/>
          <w:szCs w:val="52"/>
        </w:rPr>
        <w:t>（正副本）</w:t>
      </w:r>
    </w:p>
    <w:p>
      <w:pPr>
        <w:ind w:firstLine="1446"/>
        <w:rPr>
          <w:rFonts w:ascii="楷体" w:hAnsi="楷体" w:eastAsia="楷体" w:cs="楷体"/>
          <w:b/>
          <w:bCs/>
          <w:sz w:val="72"/>
          <w:szCs w:val="72"/>
        </w:rPr>
      </w:pPr>
    </w:p>
    <w:p>
      <w:pPr>
        <w:ind w:firstLine="723"/>
        <w:jc w:val="center"/>
        <w:rPr>
          <w:rFonts w:ascii="楷体" w:hAnsi="楷体" w:eastAsia="楷体" w:cs="楷体"/>
          <w:b/>
          <w:bCs/>
          <w:sz w:val="36"/>
          <w:szCs w:val="36"/>
        </w:rPr>
      </w:pPr>
    </w:p>
    <w:p>
      <w:pPr>
        <w:rPr>
          <w:rFonts w:ascii="楷体" w:hAnsi="楷体" w:eastAsia="楷体" w:cs="楷体"/>
          <w:b/>
          <w:bCs/>
          <w:sz w:val="28"/>
          <w:szCs w:val="32"/>
        </w:rPr>
      </w:pPr>
    </w:p>
    <w:p>
      <w:pPr>
        <w:ind w:left="1923" w:leftChars="304" w:hanging="1285" w:hangingChars="400"/>
        <w:rPr>
          <w:rFonts w:hint="eastAsia" w:ascii="楷体" w:hAnsi="楷体" w:eastAsia="楷体" w:cs="楷体"/>
          <w:b/>
          <w:bCs/>
          <w:sz w:val="32"/>
          <w:szCs w:val="36"/>
          <w:lang w:eastAsia="zh-CN"/>
        </w:rPr>
      </w:pPr>
      <w:r>
        <w:rPr>
          <w:rFonts w:hint="eastAsia" w:ascii="楷体" w:hAnsi="楷体" w:eastAsia="楷体" w:cs="楷体"/>
          <w:b/>
          <w:bCs/>
          <w:sz w:val="32"/>
          <w:szCs w:val="36"/>
        </w:rPr>
        <w:t>项目名称：南京交通职业技术学院</w:t>
      </w:r>
      <w:r>
        <w:rPr>
          <w:rFonts w:hint="eastAsia" w:ascii="楷体" w:hAnsi="楷体" w:eastAsia="楷体" w:cs="楷体"/>
          <w:b/>
          <w:bCs/>
          <w:sz w:val="32"/>
          <w:szCs w:val="36"/>
          <w:lang w:eastAsia="zh-CN"/>
        </w:rPr>
        <w:t>行健馆</w:t>
      </w:r>
      <w:r>
        <w:rPr>
          <w:rFonts w:hint="eastAsia" w:ascii="楷体" w:hAnsi="楷体" w:eastAsia="楷体" w:cs="楷体"/>
          <w:b/>
          <w:bCs/>
          <w:sz w:val="32"/>
          <w:szCs w:val="36"/>
          <w:lang w:val="en-US" w:eastAsia="zh-CN"/>
        </w:rPr>
        <w:t>226室报告厅</w:t>
      </w:r>
      <w:r>
        <w:rPr>
          <w:rFonts w:hint="eastAsia" w:ascii="楷体" w:hAnsi="楷体" w:eastAsia="楷体" w:cs="楷体"/>
          <w:b/>
          <w:bCs/>
          <w:sz w:val="32"/>
          <w:szCs w:val="36"/>
          <w:lang w:eastAsia="zh-CN"/>
        </w:rPr>
        <w:t>改造工程</w:t>
      </w:r>
    </w:p>
    <w:p>
      <w:pPr>
        <w:ind w:left="1923" w:leftChars="304" w:hanging="1285" w:hangingChars="400"/>
        <w:rPr>
          <w:rFonts w:hint="default" w:ascii="楷体" w:hAnsi="楷体" w:eastAsia="楷体" w:cs="楷体"/>
          <w:b/>
          <w:bCs/>
          <w:color w:val="FF0000"/>
          <w:sz w:val="32"/>
          <w:szCs w:val="36"/>
          <w:lang w:val="en-US"/>
        </w:rPr>
      </w:pPr>
      <w:r>
        <w:rPr>
          <w:rFonts w:hint="eastAsia" w:ascii="楷体" w:hAnsi="楷体" w:eastAsia="楷体" w:cs="楷体"/>
          <w:b/>
          <w:bCs/>
          <w:sz w:val="32"/>
          <w:szCs w:val="36"/>
        </w:rPr>
        <w:t>项目编号：</w:t>
      </w:r>
      <w:r>
        <w:rPr>
          <w:rFonts w:hint="eastAsia" w:ascii="楷体" w:hAnsi="楷体" w:eastAsia="楷体" w:cs="楷体"/>
          <w:b/>
          <w:bCs/>
          <w:sz w:val="32"/>
          <w:szCs w:val="36"/>
          <w:lang w:eastAsia="zh-CN"/>
        </w:rPr>
        <w:t>JY2021</w:t>
      </w:r>
      <w:r>
        <w:rPr>
          <w:rFonts w:hint="eastAsia" w:ascii="楷体" w:hAnsi="楷体" w:eastAsia="楷体" w:cs="楷体"/>
          <w:b/>
          <w:bCs/>
          <w:sz w:val="32"/>
          <w:szCs w:val="36"/>
          <w:lang w:val="en-US" w:eastAsia="zh-CN"/>
        </w:rPr>
        <w:t>144</w:t>
      </w:r>
    </w:p>
    <w:p>
      <w:pPr>
        <w:rPr>
          <w:rFonts w:ascii="楷体" w:hAnsi="楷体" w:eastAsia="楷体" w:cs="楷体"/>
          <w:b/>
          <w:bCs/>
          <w:sz w:val="32"/>
          <w:szCs w:val="36"/>
        </w:rPr>
      </w:pPr>
    </w:p>
    <w:p>
      <w:pPr>
        <w:pStyle w:val="2"/>
      </w:pP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供应商名称 ：</w:t>
      </w:r>
      <w:r>
        <w:rPr>
          <w:rFonts w:hint="eastAsia" w:ascii="楷体" w:hAnsi="楷体" w:eastAsia="楷体" w:cs="楷体"/>
          <w:b/>
          <w:bCs/>
          <w:sz w:val="36"/>
          <w:szCs w:val="36"/>
          <w:u w:val="single"/>
        </w:rPr>
        <w:t xml:space="preserve">               </w:t>
      </w: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授权代表   ：</w:t>
      </w:r>
      <w:r>
        <w:rPr>
          <w:rFonts w:hint="eastAsia" w:ascii="楷体" w:hAnsi="楷体" w:eastAsia="楷体" w:cs="楷体"/>
          <w:b/>
          <w:bCs/>
          <w:sz w:val="36"/>
          <w:szCs w:val="36"/>
          <w:u w:val="single"/>
        </w:rPr>
        <w:t xml:space="preserve">               </w:t>
      </w: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日      期 ：</w:t>
      </w:r>
      <w:r>
        <w:rPr>
          <w:rFonts w:hint="eastAsia" w:ascii="楷体" w:hAnsi="楷体" w:eastAsia="楷体" w:cs="楷体"/>
          <w:b/>
          <w:bCs/>
          <w:sz w:val="36"/>
          <w:szCs w:val="36"/>
          <w:u w:val="single"/>
        </w:rPr>
        <w:t xml:space="preserve">               </w:t>
      </w:r>
    </w:p>
    <w:p>
      <w:pPr>
        <w:jc w:val="center"/>
        <w:rPr>
          <w:rFonts w:hint="eastAsia" w:ascii="楷体" w:hAnsi="楷体" w:eastAsia="楷体" w:cs="楷体"/>
          <w:b/>
          <w:bCs/>
          <w:sz w:val="28"/>
          <w:szCs w:val="28"/>
        </w:rPr>
      </w:pPr>
      <w:r>
        <w:rPr>
          <w:rFonts w:hint="eastAsia" w:ascii="楷体" w:hAnsi="楷体" w:eastAsia="楷体" w:cs="楷体"/>
          <w:b/>
          <w:bCs/>
          <w:sz w:val="36"/>
          <w:szCs w:val="36"/>
          <w:u w:val="single"/>
        </w:rPr>
        <w:br w:type="page"/>
      </w:r>
      <w:r>
        <w:rPr>
          <w:rFonts w:hint="eastAsia" w:ascii="楷体" w:hAnsi="楷体" w:eastAsia="楷体" w:cs="楷体"/>
          <w:b/>
          <w:bCs/>
          <w:sz w:val="28"/>
          <w:szCs w:val="28"/>
        </w:rPr>
        <w:t>资格性和符合性检查响应对照表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5447"/>
        <w:gridCol w:w="1573"/>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646"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序号</w:t>
            </w:r>
          </w:p>
        </w:tc>
        <w:tc>
          <w:tcPr>
            <w:tcW w:w="5447"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资格和符合性检查响应内容</w:t>
            </w:r>
          </w:p>
        </w:tc>
        <w:tc>
          <w:tcPr>
            <w:tcW w:w="1573"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是否响应</w:t>
            </w:r>
          </w:p>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（填是或者否）</w:t>
            </w:r>
          </w:p>
        </w:tc>
        <w:tc>
          <w:tcPr>
            <w:tcW w:w="1590"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响应文件中的页码位置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1</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磋商供应商法人或者其他组织的营业执照等证明文件，自然人的身份证明；</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2</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磋商供应商具有良好的商业信誉和健全的财务会计制度，提供20</w:t>
            </w:r>
            <w:r>
              <w:rPr>
                <w:rFonts w:hint="eastAsia" w:ascii="楷体" w:hAnsi="楷体" w:eastAsia="楷体" w:cs="楷体"/>
                <w:b/>
                <w:i/>
                <w:sz w:val="24"/>
                <w:szCs w:val="24"/>
                <w:u w:val="single"/>
                <w:lang w:val="en-US" w:eastAsia="zh-CN"/>
              </w:rPr>
              <w:t>20</w:t>
            </w:r>
            <w:r>
              <w:rPr>
                <w:rFonts w:hint="eastAsia" w:ascii="楷体" w:hAnsi="楷体" w:eastAsia="楷体" w:cs="楷体"/>
                <w:b/>
                <w:i/>
                <w:sz w:val="24"/>
                <w:szCs w:val="24"/>
                <w:u w:val="single"/>
              </w:rPr>
              <w:t>年度的财务状况报告（成立不满一年不需提供）；</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3</w:t>
            </w:r>
          </w:p>
        </w:tc>
        <w:tc>
          <w:tcPr>
            <w:tcW w:w="5447" w:type="dxa"/>
            <w:noWrap w:val="0"/>
            <w:vAlign w:val="center"/>
          </w:tcPr>
          <w:p>
            <w:pPr>
              <w:snapToGrid w:val="0"/>
              <w:ind w:firstLine="482" w:firstLineChars="200"/>
              <w:rPr>
                <w:rFonts w:ascii="楷体" w:hAnsi="楷体" w:eastAsia="楷体" w:cs="楷体"/>
                <w:b/>
                <w:i/>
                <w:sz w:val="24"/>
                <w:szCs w:val="24"/>
                <w:u w:val="single"/>
              </w:rPr>
            </w:pPr>
            <w:r>
              <w:rPr>
                <w:rFonts w:hint="eastAsia" w:ascii="楷体" w:hAnsi="楷体" w:eastAsia="楷体" w:cs="楷体"/>
                <w:b/>
                <w:i/>
                <w:sz w:val="24"/>
                <w:szCs w:val="24"/>
                <w:u w:val="single"/>
              </w:rPr>
              <w:t>磋商供应商有依法缴纳税收和社会保障资金的良好记录，提供参加本次政府采购活动近六个月（至少一个月）依法缴纳税收和社会保障资金的相关材料（根据国家相关政策免缴或迟缴的需提供相关证明材料）；</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4</w:t>
            </w:r>
          </w:p>
        </w:tc>
        <w:tc>
          <w:tcPr>
            <w:tcW w:w="5447" w:type="dxa"/>
            <w:noWrap w:val="0"/>
            <w:vAlign w:val="center"/>
          </w:tcPr>
          <w:p>
            <w:pPr>
              <w:snapToGrid w:val="0"/>
              <w:spacing w:before="50" w:after="159" w:afterLines="50"/>
              <w:ind w:firstLine="482" w:firstLineChars="200"/>
              <w:jc w:val="left"/>
              <w:rPr>
                <w:rFonts w:ascii="楷体" w:hAnsi="楷体" w:eastAsia="楷体" w:cs="楷体"/>
                <w:b/>
                <w:bCs/>
                <w:i/>
                <w:sz w:val="24"/>
                <w:szCs w:val="24"/>
                <w:u w:val="single"/>
              </w:rPr>
            </w:pPr>
            <w:r>
              <w:rPr>
                <w:rFonts w:hint="eastAsia" w:ascii="楷体" w:hAnsi="楷体" w:eastAsia="楷体" w:cs="楷体"/>
                <w:b/>
                <w:i/>
                <w:sz w:val="24"/>
                <w:szCs w:val="24"/>
                <w:u w:val="single"/>
              </w:rPr>
              <w:t>磋商供应商具有履行合同所必需的设备和专业技术能力（根据项目需求提供履行合同所必需的设备和专业技术能力的声明或证明材料）；</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5</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磋商供应商参加政府采购活动前3年内在经营活动中没有重大违法记录的书面声明；</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6</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供应商未被“信用中国”网站（www.creditchina.gov.cn）、“中国政府采购网"(www.ccgp.gov.cn)列入失信被执行人、重大税收违法案件当事人名单、政府采购严重违法失信行为记录名单。</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hint="eastAsia" w:ascii="楷体" w:hAnsi="楷体" w:eastAsia="楷体" w:cs="楷体"/>
                <w:sz w:val="24"/>
                <w:szCs w:val="24"/>
              </w:rPr>
            </w:pPr>
            <w:r>
              <w:rPr>
                <w:rFonts w:hint="eastAsia" w:ascii="楷体" w:hAnsi="楷体" w:eastAsia="楷体" w:cs="楷体"/>
                <w:sz w:val="24"/>
                <w:szCs w:val="24"/>
              </w:rPr>
              <w:t>7</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磋商函</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8</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报价表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9</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响应表商务表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10</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lang w:eastAsia="zh-CN"/>
              </w:rPr>
            </w:pPr>
            <w:r>
              <w:rPr>
                <w:rFonts w:hint="eastAsia" w:ascii="楷体" w:hAnsi="楷体" w:eastAsia="楷体" w:cs="楷体"/>
                <w:b/>
                <w:i/>
                <w:sz w:val="24"/>
                <w:szCs w:val="24"/>
                <w:u w:val="single"/>
                <w:lang w:eastAsia="zh-CN"/>
              </w:rPr>
              <w:t>其他承诺函</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eastAsia" w:ascii="楷体" w:hAnsi="楷体" w:eastAsia="楷体" w:cs="楷体"/>
                <w:sz w:val="24"/>
                <w:szCs w:val="24"/>
              </w:rPr>
            </w:pPr>
            <w:r>
              <w:rPr>
                <w:rFonts w:hint="eastAsia" w:ascii="楷体" w:hAnsi="楷体" w:eastAsia="楷体" w:cs="楷体"/>
                <w:sz w:val="24"/>
                <w:szCs w:val="24"/>
              </w:rPr>
              <w:t>11</w:t>
            </w:r>
          </w:p>
        </w:tc>
        <w:tc>
          <w:tcPr>
            <w:tcW w:w="5447" w:type="dxa"/>
            <w:noWrap w:val="0"/>
            <w:vAlign w:val="center"/>
          </w:tcPr>
          <w:p>
            <w:pPr>
              <w:snapToGrid w:val="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企业资质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12</w:t>
            </w:r>
          </w:p>
        </w:tc>
        <w:tc>
          <w:tcPr>
            <w:tcW w:w="5447" w:type="dxa"/>
            <w:noWrap w:val="0"/>
            <w:vAlign w:val="center"/>
          </w:tcPr>
          <w:p>
            <w:pPr>
              <w:snapToGrid w:val="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相关附表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13</w:t>
            </w:r>
          </w:p>
        </w:tc>
        <w:tc>
          <w:tcPr>
            <w:tcW w:w="5447" w:type="dxa"/>
            <w:noWrap w:val="0"/>
            <w:vAlign w:val="center"/>
          </w:tcPr>
          <w:p>
            <w:pPr>
              <w:snapToGrid w:val="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服务方案</w:t>
            </w:r>
            <w:r>
              <w:rPr>
                <w:rFonts w:hint="eastAsia" w:ascii="楷体" w:hAnsi="楷体" w:eastAsia="楷体" w:cs="楷体"/>
                <w:sz w:val="24"/>
                <w:szCs w:val="24"/>
              </w:rPr>
              <w:t>……………</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bl>
    <w:p>
      <w:pPr>
        <w:rPr>
          <w:rFonts w:hint="eastAsia" w:ascii="楷体" w:hAnsi="楷体" w:eastAsia="楷体" w:cs="楷体"/>
          <w:b/>
          <w:bCs/>
          <w:sz w:val="24"/>
          <w:szCs w:val="24"/>
        </w:rPr>
      </w:pPr>
    </w:p>
    <w:p>
      <w:pPr>
        <w:jc w:val="left"/>
        <w:rPr>
          <w:rFonts w:hint="eastAsia" w:ascii="楷体" w:hAnsi="楷体" w:eastAsia="楷体" w:cs="楷体"/>
          <w:b/>
          <w:bCs/>
          <w:sz w:val="24"/>
          <w:szCs w:val="24"/>
        </w:rPr>
      </w:pPr>
      <w:r>
        <w:rPr>
          <w:rFonts w:hint="eastAsia" w:ascii="楷体" w:hAnsi="楷体" w:eastAsia="楷体" w:cs="楷体"/>
          <w:b/>
          <w:bCs/>
          <w:sz w:val="24"/>
          <w:szCs w:val="24"/>
        </w:rPr>
        <w:t>说明：上述所列资格证明文件为必须提供内容，未提供或未提供有效材料的,将不能通过符合性审查。</w:t>
      </w:r>
    </w:p>
    <w:p>
      <w:pPr>
        <w:jc w:val="center"/>
        <w:rPr>
          <w:rFonts w:ascii="楷体" w:hAnsi="楷体" w:eastAsia="楷体" w:cs="楷体"/>
          <w:b/>
          <w:bCs/>
          <w:sz w:val="28"/>
          <w:szCs w:val="28"/>
        </w:rPr>
      </w:pPr>
      <w:r>
        <w:rPr>
          <w:rFonts w:hint="eastAsia" w:ascii="楷体" w:hAnsi="楷体" w:eastAsia="楷体" w:cs="楷体"/>
          <w:b/>
          <w:bCs/>
          <w:sz w:val="24"/>
          <w:szCs w:val="24"/>
        </w:rPr>
        <w:br w:type="page"/>
      </w:r>
      <w:r>
        <w:rPr>
          <w:rFonts w:hint="eastAsia" w:ascii="楷体" w:hAnsi="楷体" w:eastAsia="楷体" w:cs="楷体"/>
          <w:b/>
          <w:bCs/>
          <w:sz w:val="28"/>
          <w:szCs w:val="28"/>
        </w:rPr>
        <w:t>评分索引表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1"/>
        <w:gridCol w:w="3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79"/>
              <w:shd w:val="clear" w:color="auto" w:fill="FFFFFF"/>
              <w:spacing w:line="265" w:lineRule="atLeast"/>
              <w:ind w:left="420" w:firstLine="422"/>
              <w:jc w:val="center"/>
              <w:rPr>
                <w:rFonts w:ascii="楷体" w:hAnsi="楷体" w:eastAsia="楷体" w:cs="楷体"/>
                <w:b/>
                <w:bCs/>
              </w:rPr>
            </w:pPr>
            <w:r>
              <w:rPr>
                <w:rFonts w:hint="eastAsia" w:ascii="楷体" w:hAnsi="楷体" w:eastAsia="楷体" w:cs="楷体"/>
                <w:b/>
                <w:bCs/>
              </w:rPr>
              <w:t>评分项目</w:t>
            </w:r>
          </w:p>
        </w:tc>
        <w:tc>
          <w:tcPr>
            <w:tcW w:w="3269" w:type="dxa"/>
            <w:noWrap w:val="0"/>
            <w:vAlign w:val="center"/>
          </w:tcPr>
          <w:p>
            <w:pPr>
              <w:jc w:val="center"/>
              <w:rPr>
                <w:rFonts w:ascii="楷体" w:hAnsi="楷体" w:eastAsia="楷体" w:cs="楷体"/>
                <w:b/>
                <w:bCs/>
              </w:rPr>
            </w:pPr>
            <w:r>
              <w:rPr>
                <w:rFonts w:hint="eastAsia" w:ascii="楷体" w:hAnsi="楷体" w:eastAsia="楷体" w:cs="楷体"/>
                <w:b/>
                <w:bCs/>
                <w:kern w:val="0"/>
              </w:rPr>
              <w:t>在投标文件中的页码位置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191" w:type="dxa"/>
            <w:noWrap w:val="0"/>
            <w:vAlign w:val="center"/>
          </w:tcPr>
          <w:p>
            <w:pPr>
              <w:pStyle w:val="79"/>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460" w:type="dxa"/>
            <w:gridSpan w:val="2"/>
            <w:noWrap w:val="0"/>
            <w:vAlign w:val="center"/>
          </w:tcPr>
          <w:p>
            <w:pPr>
              <w:pStyle w:val="79"/>
              <w:shd w:val="clear" w:color="auto" w:fill="FFFFFF"/>
              <w:spacing w:line="265" w:lineRule="atLeast"/>
              <w:ind w:left="420"/>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460" w:type="dxa"/>
            <w:gridSpan w:val="2"/>
            <w:noWrap w:val="0"/>
            <w:vAlign w:val="center"/>
          </w:tcPr>
          <w:p>
            <w:pPr>
              <w:pStyle w:val="79"/>
              <w:shd w:val="clear" w:color="auto" w:fill="FFFFFF"/>
              <w:spacing w:line="265" w:lineRule="atLeast"/>
              <w:ind w:left="420"/>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8460" w:type="dxa"/>
            <w:gridSpan w:val="2"/>
            <w:noWrap w:val="0"/>
            <w:vAlign w:val="center"/>
          </w:tcPr>
          <w:p>
            <w:pPr>
              <w:pStyle w:val="79"/>
              <w:shd w:val="clear" w:color="auto" w:fill="FFFFFF"/>
              <w:spacing w:line="265" w:lineRule="atLeast"/>
              <w:ind w:left="420" w:firstLine="422"/>
              <w:jc w:val="center"/>
              <w:rPr>
                <w:rFonts w:ascii="楷体" w:hAnsi="楷体" w:eastAsia="楷体" w:cs="楷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79"/>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9"/>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79"/>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460" w:type="dxa"/>
            <w:gridSpan w:val="2"/>
            <w:noWrap w:val="0"/>
            <w:vAlign w:val="center"/>
          </w:tcPr>
          <w:p>
            <w:pPr>
              <w:pStyle w:val="79"/>
              <w:shd w:val="clear" w:color="auto" w:fill="FFFFFF"/>
              <w:spacing w:line="265" w:lineRule="atLeast"/>
              <w:ind w:left="420" w:firstLine="422"/>
              <w:jc w:val="center"/>
              <w:rPr>
                <w:rFonts w:ascii="楷体" w:hAnsi="楷体" w:eastAsia="楷体" w:cs="楷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5191" w:type="dxa"/>
            <w:noWrap w:val="0"/>
            <w:vAlign w:val="center"/>
          </w:tcPr>
          <w:p>
            <w:pPr>
              <w:pStyle w:val="79"/>
              <w:shd w:val="clear" w:color="auto" w:fill="FFFFFF"/>
              <w:spacing w:line="265" w:lineRule="atLeast"/>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5191" w:type="dxa"/>
            <w:noWrap w:val="0"/>
            <w:vAlign w:val="center"/>
          </w:tcPr>
          <w:p>
            <w:pPr>
              <w:pStyle w:val="79"/>
              <w:shd w:val="clear" w:color="auto" w:fill="FFFFFF"/>
              <w:spacing w:line="265" w:lineRule="atLeast"/>
              <w:jc w:val="center"/>
              <w:rPr>
                <w:rFonts w:ascii="楷体" w:hAnsi="楷体" w:eastAsia="楷体" w:cs="楷体"/>
              </w:rPr>
            </w:pPr>
          </w:p>
        </w:tc>
        <w:tc>
          <w:tcPr>
            <w:tcW w:w="3269" w:type="dxa"/>
            <w:noWrap w:val="0"/>
            <w:vAlign w:val="center"/>
          </w:tcPr>
          <w:p>
            <w:pPr>
              <w:jc w:val="center"/>
              <w:rPr>
                <w:rFonts w:ascii="楷体" w:hAnsi="楷体" w:eastAsia="楷体" w:cs="楷体"/>
              </w:rPr>
            </w:pPr>
          </w:p>
        </w:tc>
      </w:tr>
    </w:tbl>
    <w:p>
      <w:pPr>
        <w:rPr>
          <w:rFonts w:ascii="楷体" w:hAnsi="楷体" w:eastAsia="楷体" w:cs="楷体"/>
        </w:rPr>
      </w:pPr>
    </w:p>
    <w:p>
      <w:pPr>
        <w:ind w:firstLine="723"/>
        <w:jc w:val="center"/>
        <w:rPr>
          <w:rFonts w:ascii="楷体" w:hAnsi="楷体" w:eastAsia="楷体" w:cs="楷体"/>
        </w:rPr>
      </w:pPr>
      <w:r>
        <w:rPr>
          <w:rFonts w:hint="eastAsia" w:ascii="楷体" w:hAnsi="楷体" w:eastAsia="楷体" w:cs="楷体"/>
        </w:rPr>
        <w:br w:type="page"/>
      </w:r>
      <w:r>
        <w:rPr>
          <w:rFonts w:hint="eastAsia" w:ascii="楷体" w:hAnsi="楷体" w:eastAsia="楷体" w:cs="楷体"/>
          <w:b/>
          <w:bCs/>
          <w:sz w:val="36"/>
          <w:szCs w:val="36"/>
        </w:rPr>
        <w:t>投标主要文件目录</w:t>
      </w:r>
    </w:p>
    <w:p>
      <w:pPr>
        <w:ind w:firstLine="140" w:firstLineChars="50"/>
        <w:rPr>
          <w:rFonts w:ascii="楷体" w:hAnsi="楷体" w:eastAsia="楷体" w:cs="楷体"/>
          <w:sz w:val="28"/>
          <w:szCs w:val="28"/>
        </w:rPr>
      </w:pPr>
      <w:r>
        <w:rPr>
          <w:rFonts w:hint="eastAsia" w:ascii="楷体" w:hAnsi="楷体" w:eastAsia="楷体" w:cs="楷体"/>
          <w:sz w:val="28"/>
          <w:szCs w:val="28"/>
        </w:rPr>
        <w:t>请响应商编制目录及页码，否则可能将影响对投标文件的评价。</w:t>
      </w:r>
    </w:p>
    <w:p>
      <w:pPr>
        <w:ind w:left="480"/>
        <w:rPr>
          <w:rFonts w:ascii="楷体" w:hAnsi="楷体" w:eastAsia="楷体" w:cs="楷体"/>
          <w:sz w:val="24"/>
          <w:szCs w:val="24"/>
        </w:rPr>
      </w:pPr>
    </w:p>
    <w:p>
      <w:pPr>
        <w:rPr>
          <w:rFonts w:ascii="楷体" w:hAnsi="楷体" w:eastAsia="楷体" w:cs="楷体"/>
        </w:rPr>
      </w:pPr>
    </w:p>
    <w:p>
      <w:pPr>
        <w:jc w:val="center"/>
        <w:rPr>
          <w:rFonts w:ascii="楷体" w:hAnsi="楷体" w:eastAsia="楷体" w:cs="楷体"/>
        </w:rPr>
      </w:pPr>
      <w:r>
        <w:rPr>
          <w:rFonts w:hint="eastAsia" w:ascii="楷体" w:hAnsi="楷体" w:eastAsia="楷体" w:cs="楷体"/>
        </w:rPr>
        <w:br w:type="page"/>
      </w:r>
      <w:bookmarkStart w:id="78" w:name="_Toc449017027"/>
    </w:p>
    <w:bookmarkEnd w:id="58"/>
    <w:bookmarkEnd w:id="59"/>
    <w:bookmarkEnd w:id="75"/>
    <w:bookmarkEnd w:id="76"/>
    <w:bookmarkEnd w:id="77"/>
    <w:bookmarkEnd w:id="78"/>
    <w:p>
      <w:pPr>
        <w:pStyle w:val="40"/>
        <w:numPr>
          <w:ilvl w:val="0"/>
          <w:numId w:val="0"/>
        </w:numPr>
        <w:jc w:val="center"/>
        <w:rPr>
          <w:rFonts w:ascii="楷体" w:hAnsi="楷体" w:eastAsia="楷体" w:cs="楷体"/>
        </w:rPr>
      </w:pPr>
      <w:bookmarkStart w:id="79" w:name="_Toc14521"/>
      <w:bookmarkStart w:id="80" w:name="_Toc13734"/>
      <w:bookmarkStart w:id="81" w:name="_Toc769"/>
      <w:bookmarkStart w:id="82" w:name="_Toc25957"/>
      <w:r>
        <w:rPr>
          <w:rFonts w:hint="eastAsia" w:ascii="楷体" w:hAnsi="楷体" w:eastAsia="楷体" w:cs="楷体"/>
        </w:rPr>
        <w:t>一、磋商函</w:t>
      </w:r>
      <w:bookmarkEnd w:id="79"/>
      <w:bookmarkEnd w:id="80"/>
      <w:bookmarkEnd w:id="81"/>
      <w:bookmarkEnd w:id="82"/>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南京交通职业技术学院：</w:t>
      </w:r>
    </w:p>
    <w:p>
      <w:pPr>
        <w:widowControl/>
        <w:snapToGrid w:val="0"/>
        <w:spacing w:before="19" w:line="500" w:lineRule="exact"/>
        <w:ind w:firstLine="480" w:firstLineChars="200"/>
        <w:rPr>
          <w:rFonts w:ascii="楷体" w:hAnsi="楷体" w:eastAsia="楷体" w:cs="楷体"/>
          <w:b/>
          <w:bCs/>
          <w:sz w:val="24"/>
          <w:szCs w:val="24"/>
        </w:rPr>
      </w:pPr>
      <w:r>
        <w:rPr>
          <w:rFonts w:hint="eastAsia" w:ascii="楷体" w:hAnsi="楷体" w:eastAsia="楷体" w:cs="楷体"/>
          <w:b w:val="0"/>
          <w:bCs w:val="0"/>
          <w:sz w:val="24"/>
          <w:szCs w:val="24"/>
        </w:rPr>
        <w:t>南京交通职业技术学院</w:t>
      </w:r>
      <w:r>
        <w:rPr>
          <w:rFonts w:hint="eastAsia" w:ascii="楷体" w:hAnsi="楷体" w:eastAsia="楷体" w:cs="楷体"/>
          <w:b w:val="0"/>
          <w:bCs w:val="0"/>
          <w:sz w:val="24"/>
          <w:szCs w:val="24"/>
          <w:lang w:eastAsia="zh-CN"/>
        </w:rPr>
        <w:t>行健馆</w:t>
      </w:r>
      <w:r>
        <w:rPr>
          <w:rFonts w:hint="eastAsia" w:ascii="楷体" w:hAnsi="楷体" w:eastAsia="楷体" w:cs="楷体"/>
          <w:b w:val="0"/>
          <w:bCs w:val="0"/>
          <w:sz w:val="24"/>
          <w:szCs w:val="24"/>
          <w:lang w:val="en-US" w:eastAsia="zh-CN"/>
        </w:rPr>
        <w:t>226室报告厅改造</w:t>
      </w:r>
      <w:r>
        <w:rPr>
          <w:rFonts w:hint="eastAsia" w:ascii="楷体" w:hAnsi="楷体" w:eastAsia="楷体" w:cs="楷体"/>
          <w:b w:val="0"/>
          <w:bCs w:val="0"/>
          <w:sz w:val="24"/>
          <w:szCs w:val="24"/>
          <w:lang w:eastAsia="zh-CN"/>
        </w:rPr>
        <w:t>工程采购项目</w:t>
      </w:r>
      <w:r>
        <w:rPr>
          <w:rFonts w:hint="eastAsia" w:ascii="楷体" w:hAnsi="楷体" w:eastAsia="楷体" w:cs="楷体"/>
          <w:b w:val="0"/>
          <w:bCs w:val="0"/>
          <w:sz w:val="24"/>
          <w:szCs w:val="24"/>
        </w:rPr>
        <w:t>（采购编号为：</w:t>
      </w:r>
      <w:r>
        <w:rPr>
          <w:rFonts w:hint="eastAsia" w:ascii="楷体" w:hAnsi="楷体" w:eastAsia="楷体" w:cs="楷体"/>
          <w:b w:val="0"/>
          <w:bCs w:val="0"/>
          <w:sz w:val="24"/>
          <w:szCs w:val="24"/>
          <w:lang w:eastAsia="zh-CN"/>
        </w:rPr>
        <w:t>JY2021</w:t>
      </w:r>
      <w:r>
        <w:rPr>
          <w:rFonts w:hint="eastAsia" w:ascii="楷体" w:hAnsi="楷体" w:eastAsia="楷体" w:cs="楷体"/>
          <w:b w:val="0"/>
          <w:bCs w:val="0"/>
          <w:sz w:val="24"/>
          <w:szCs w:val="24"/>
          <w:lang w:val="en-US" w:eastAsia="zh-CN"/>
        </w:rPr>
        <w:t>144</w:t>
      </w:r>
      <w:r>
        <w:rPr>
          <w:rFonts w:hint="eastAsia" w:ascii="楷体" w:hAnsi="楷体" w:eastAsia="楷体" w:cs="楷体"/>
          <w:b w:val="0"/>
          <w:bCs w:val="0"/>
          <w:sz w:val="24"/>
          <w:szCs w:val="24"/>
        </w:rPr>
        <w:t>）</w:t>
      </w:r>
      <w:r>
        <w:rPr>
          <w:rFonts w:hint="eastAsia" w:ascii="楷体" w:hAnsi="楷体" w:eastAsia="楷体" w:cs="楷体"/>
          <w:sz w:val="24"/>
          <w:szCs w:val="24"/>
        </w:rPr>
        <w:t>竞争性磋商文件（包括更正公告，如果有的话）收悉，我们经详细审阅和研究，现决定参加磋商。</w:t>
      </w:r>
    </w:p>
    <w:p>
      <w:pPr>
        <w:widowControl/>
        <w:snapToGrid w:val="0"/>
        <w:spacing w:before="19" w:line="500" w:lineRule="exact"/>
        <w:ind w:firstLine="480" w:firstLineChars="200"/>
        <w:rPr>
          <w:rFonts w:ascii="楷体" w:hAnsi="楷体" w:eastAsia="楷体" w:cs="楷体"/>
          <w:sz w:val="24"/>
          <w:szCs w:val="24"/>
        </w:rPr>
      </w:pPr>
      <w:r>
        <w:rPr>
          <w:rFonts w:hint="eastAsia" w:ascii="楷体" w:hAnsi="楷体" w:eastAsia="楷体" w:cs="楷体"/>
          <w:sz w:val="24"/>
          <w:szCs w:val="24"/>
        </w:rPr>
        <w:t>1、我们郑重承诺：我们是符合《政府采购法》第22条规定的供应商，并严格遵守《政府采购法》第77条的规定，本磋商响应文件中提供的所有材料均是真实有效的。</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2、我们接受竞争性磋商文件的所有的条款和规定。</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3、我们同意按照本竞争性磋商文件第二章“磋商须知”的规定，本磋商响应文件的有效期为从开标之日起计算的九十天，在此期间，本磋商响应文件将始终对我们具有约束力，并可随时被接受。如果我们成为成交供应商，本磋商响应文件在此期间之后将继续保持有效。</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4、我们同意提供采购人要求的有关本次采购的所有资料。</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5、我们理解，你们无义务必须接受报价最高的磋商响应文件，并有权拒绝所有的响应文件。同时也理解你们不承担我们本次磋商的费用。</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6、如果我们成为成交供应商，为执行合同，我们将按供应商须知有关要求提供必要的履约保证。</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磋商供应商名称：（公章）</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地址：                          邮编：</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电话：                          传真：          </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法定代表人（授权代表）（签字或盖章）：                   </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职务：                  </w:t>
      </w:r>
    </w:p>
    <w:p>
      <w:pPr>
        <w:widowControl/>
        <w:snapToGrid w:val="0"/>
        <w:spacing w:before="19" w:line="500" w:lineRule="exact"/>
        <w:rPr>
          <w:rFonts w:hint="eastAsia" w:ascii="楷体" w:hAnsi="楷体" w:eastAsia="楷体" w:cs="楷体"/>
          <w:sz w:val="24"/>
          <w:szCs w:val="24"/>
        </w:rPr>
      </w:pPr>
      <w:r>
        <w:rPr>
          <w:rFonts w:hint="eastAsia" w:ascii="楷体" w:hAnsi="楷体" w:eastAsia="楷体" w:cs="楷体"/>
          <w:sz w:val="24"/>
          <w:szCs w:val="24"/>
        </w:rPr>
        <w:t xml:space="preserve">日期：                  </w:t>
      </w:r>
      <w:bookmarkStart w:id="83" w:name="_Toc27417"/>
      <w:bookmarkStart w:id="84" w:name="_Toc2237"/>
    </w:p>
    <w:p>
      <w:pPr>
        <w:pStyle w:val="2"/>
        <w:rPr>
          <w:rFonts w:hint="eastAsia" w:eastAsia="楷体"/>
          <w:lang w:val="en-US" w:eastAsia="zh-CN"/>
        </w:rPr>
      </w:pPr>
      <w:r>
        <w:rPr>
          <w:rFonts w:hint="eastAsia" w:ascii="楷体" w:hAnsi="楷体" w:eastAsia="楷体" w:cs="楷体"/>
          <w:sz w:val="24"/>
          <w:szCs w:val="24"/>
          <w:lang w:val="en-US" w:eastAsia="zh-CN"/>
        </w:rPr>
        <w:t>.</w:t>
      </w:r>
    </w:p>
    <w:bookmarkEnd w:id="83"/>
    <w:bookmarkEnd w:id="84"/>
    <w:p>
      <w:pPr>
        <w:widowControl/>
        <w:snapToGrid w:val="0"/>
        <w:spacing w:before="19" w:line="500" w:lineRule="exact"/>
        <w:rPr>
          <w:rFonts w:ascii="楷体" w:hAnsi="楷体" w:eastAsia="楷体" w:cs="楷体"/>
        </w:rPr>
      </w:pPr>
    </w:p>
    <w:p>
      <w:pPr>
        <w:spacing w:line="500" w:lineRule="exact"/>
        <w:rPr>
          <w:rFonts w:ascii="楷体" w:hAnsi="楷体" w:eastAsia="楷体" w:cs="楷体"/>
          <w:sz w:val="24"/>
        </w:rPr>
      </w:pPr>
    </w:p>
    <w:p>
      <w:pPr>
        <w:pStyle w:val="40"/>
        <w:numPr>
          <w:ilvl w:val="0"/>
          <w:numId w:val="0"/>
        </w:numPr>
        <w:jc w:val="center"/>
        <w:rPr>
          <w:rFonts w:hint="eastAsia" w:ascii="楷体" w:hAnsi="楷体" w:eastAsia="楷体" w:cs="楷体"/>
        </w:rPr>
      </w:pPr>
      <w:bookmarkStart w:id="85" w:name="_Toc10933"/>
      <w:bookmarkStart w:id="86" w:name="_Toc4264"/>
      <w:r>
        <w:rPr>
          <w:rFonts w:hint="eastAsia" w:ascii="楷体" w:hAnsi="楷体" w:eastAsia="楷体" w:cs="楷体"/>
        </w:rPr>
        <w:t>二、报价表</w:t>
      </w:r>
      <w:bookmarkEnd w:id="85"/>
      <w:bookmarkEnd w:id="86"/>
    </w:p>
    <w:p>
      <w:pPr>
        <w:pStyle w:val="2"/>
        <w:ind w:firstLine="210"/>
      </w:pPr>
    </w:p>
    <w:tbl>
      <w:tblPr>
        <w:tblStyle w:val="24"/>
        <w:tblW w:w="84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11"/>
        <w:gridCol w:w="58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1" w:type="dxa"/>
            <w:noWrap w:val="0"/>
            <w:vAlign w:val="center"/>
          </w:tcPr>
          <w:p>
            <w:pPr>
              <w:adjustRightInd w:val="0"/>
              <w:snapToGrid w:val="0"/>
              <w:jc w:val="center"/>
              <w:rPr>
                <w:rFonts w:ascii="楷体" w:hAnsi="楷体" w:eastAsia="楷体" w:cs="楷体"/>
                <w:sz w:val="24"/>
                <w:szCs w:val="24"/>
              </w:rPr>
            </w:pPr>
            <w:r>
              <w:rPr>
                <w:rFonts w:hint="eastAsia" w:ascii="楷体" w:hAnsi="楷体" w:eastAsia="楷体" w:cs="楷体"/>
                <w:sz w:val="24"/>
                <w:szCs w:val="24"/>
              </w:rPr>
              <w:t>项目名称</w:t>
            </w:r>
          </w:p>
        </w:tc>
        <w:tc>
          <w:tcPr>
            <w:tcW w:w="5806" w:type="dxa"/>
            <w:noWrap w:val="0"/>
            <w:vAlign w:val="center"/>
          </w:tcPr>
          <w:p>
            <w:pPr>
              <w:adjustRightInd w:val="0"/>
              <w:snapToGrid w:val="0"/>
              <w:jc w:val="left"/>
              <w:rPr>
                <w:rFonts w:hint="eastAsia" w:ascii="楷体" w:hAnsi="楷体" w:eastAsia="楷体" w:cs="楷体"/>
                <w:b/>
                <w:bCs/>
                <w:sz w:val="24"/>
                <w:szCs w:val="24"/>
                <w:lang w:eastAsia="zh-CN"/>
              </w:rPr>
            </w:pPr>
            <w:r>
              <w:rPr>
                <w:rFonts w:hint="eastAsia" w:ascii="楷体" w:hAnsi="楷体" w:eastAsia="楷体" w:cs="楷体"/>
                <w:b/>
                <w:bCs/>
                <w:sz w:val="24"/>
                <w:szCs w:val="24"/>
              </w:rPr>
              <w:t>南京交通职业技术学院</w:t>
            </w:r>
            <w:r>
              <w:rPr>
                <w:rFonts w:hint="eastAsia" w:ascii="楷体" w:hAnsi="楷体" w:eastAsia="楷体" w:cs="楷体"/>
                <w:b/>
                <w:bCs/>
                <w:sz w:val="24"/>
                <w:szCs w:val="24"/>
                <w:lang w:eastAsia="zh-CN"/>
              </w:rPr>
              <w:t>燃行健馆</w:t>
            </w:r>
            <w:r>
              <w:rPr>
                <w:rFonts w:hint="eastAsia" w:ascii="楷体" w:hAnsi="楷体" w:eastAsia="楷体" w:cs="楷体"/>
                <w:b/>
                <w:bCs/>
                <w:sz w:val="24"/>
                <w:szCs w:val="24"/>
                <w:lang w:val="en-US" w:eastAsia="zh-CN"/>
              </w:rPr>
              <w:t>226室报告厅改造</w:t>
            </w:r>
            <w:r>
              <w:rPr>
                <w:rFonts w:hint="eastAsia" w:ascii="楷体" w:hAnsi="楷体" w:eastAsia="楷体" w:cs="楷体"/>
                <w:b/>
                <w:bCs/>
                <w:sz w:val="24"/>
                <w:szCs w:val="24"/>
                <w:lang w:eastAsia="zh-CN"/>
              </w:rPr>
              <w:t>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2611" w:type="dxa"/>
            <w:noWrap w:val="0"/>
            <w:vAlign w:val="center"/>
          </w:tcPr>
          <w:p>
            <w:pPr>
              <w:adjustRightInd w:val="0"/>
              <w:snapToGrid w:val="0"/>
              <w:jc w:val="center"/>
              <w:rPr>
                <w:rFonts w:ascii="楷体" w:hAnsi="楷体" w:eastAsia="楷体" w:cs="楷体"/>
                <w:sz w:val="24"/>
                <w:szCs w:val="24"/>
              </w:rPr>
            </w:pPr>
            <w:r>
              <w:rPr>
                <w:rFonts w:hint="eastAsia" w:ascii="楷体" w:hAnsi="楷体" w:eastAsia="楷体" w:cs="楷体"/>
                <w:sz w:val="24"/>
                <w:szCs w:val="24"/>
              </w:rPr>
              <w:t>项目编号</w:t>
            </w:r>
          </w:p>
        </w:tc>
        <w:tc>
          <w:tcPr>
            <w:tcW w:w="5806" w:type="dxa"/>
            <w:noWrap w:val="0"/>
            <w:vAlign w:val="center"/>
          </w:tcPr>
          <w:p>
            <w:pPr>
              <w:adjustRightInd w:val="0"/>
              <w:snapToGrid w:val="0"/>
              <w:jc w:val="left"/>
              <w:rPr>
                <w:rFonts w:hint="default" w:ascii="楷体" w:hAnsi="楷体" w:eastAsia="楷体" w:cs="楷体"/>
                <w:sz w:val="24"/>
                <w:szCs w:val="24"/>
                <w:lang w:val="en-US" w:eastAsia="zh-CN"/>
              </w:rPr>
            </w:pPr>
            <w:r>
              <w:rPr>
                <w:rFonts w:hint="eastAsia" w:ascii="楷体" w:hAnsi="楷体" w:eastAsia="楷体" w:cs="楷体"/>
                <w:b/>
                <w:bCs/>
                <w:sz w:val="24"/>
                <w:szCs w:val="24"/>
                <w:lang w:eastAsia="zh-CN"/>
              </w:rPr>
              <w:t>JY2021</w:t>
            </w:r>
            <w:r>
              <w:rPr>
                <w:rFonts w:hint="eastAsia" w:ascii="楷体" w:hAnsi="楷体" w:eastAsia="楷体" w:cs="楷体"/>
                <w:b/>
                <w:bCs/>
                <w:sz w:val="24"/>
                <w:szCs w:val="24"/>
                <w:lang w:val="en-US" w:eastAsia="zh-CN"/>
              </w:rPr>
              <w:t>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2611" w:type="dxa"/>
            <w:noWrap w:val="0"/>
            <w:vAlign w:val="bottom"/>
          </w:tcPr>
          <w:p>
            <w:pPr>
              <w:adjustRightInd w:val="0"/>
              <w:snapToGrid w:val="0"/>
              <w:spacing w:line="360" w:lineRule="auto"/>
              <w:jc w:val="center"/>
              <w:rPr>
                <w:rFonts w:ascii="楷体" w:hAnsi="楷体" w:eastAsia="楷体" w:cs="楷体"/>
                <w:sz w:val="24"/>
                <w:szCs w:val="24"/>
              </w:rPr>
            </w:pPr>
            <w:r>
              <w:rPr>
                <w:rFonts w:hint="eastAsia" w:ascii="楷体" w:hAnsi="楷体" w:eastAsia="楷体" w:cs="楷体"/>
                <w:sz w:val="24"/>
                <w:szCs w:val="24"/>
              </w:rPr>
              <w:t>磋商报价总计</w:t>
            </w:r>
          </w:p>
        </w:tc>
        <w:tc>
          <w:tcPr>
            <w:tcW w:w="5806" w:type="dxa"/>
            <w:noWrap w:val="0"/>
            <w:vAlign w:val="bottom"/>
          </w:tcPr>
          <w:p>
            <w:pPr>
              <w:spacing w:line="440" w:lineRule="exact"/>
              <w:ind w:firstLine="480" w:firstLineChars="200"/>
              <w:jc w:val="left"/>
              <w:rPr>
                <w:rFonts w:hint="default" w:ascii="楷体" w:hAnsi="楷体" w:eastAsia="楷体" w:cs="楷体"/>
                <w:sz w:val="24"/>
                <w:szCs w:val="24"/>
                <w:lang w:val="en-US" w:eastAsia="zh-CN"/>
              </w:rPr>
            </w:pPr>
            <w:r>
              <w:rPr>
                <w:rFonts w:hint="eastAsia" w:ascii="楷体" w:hAnsi="楷体" w:eastAsia="楷体" w:cs="楷体"/>
                <w:snapToGrid w:val="0"/>
                <w:color w:val="auto"/>
                <w:kern w:val="0"/>
                <w:sz w:val="24"/>
                <w:szCs w:val="24"/>
                <w:u w:val="single"/>
              </w:rPr>
              <w:t xml:space="preserve">     </w:t>
            </w:r>
            <w:r>
              <w:rPr>
                <w:rFonts w:hint="eastAsia" w:ascii="楷体" w:hAnsi="楷体" w:eastAsia="楷体" w:cs="楷体"/>
                <w:snapToGrid w:val="0"/>
                <w:color w:val="auto"/>
                <w:kern w:val="0"/>
                <w:sz w:val="24"/>
                <w:szCs w:val="24"/>
                <w:u w:val="single"/>
                <w:lang w:val="en-US" w:eastAsia="zh-CN"/>
              </w:rPr>
              <w:t xml:space="preserve">      元</w:t>
            </w:r>
          </w:p>
        </w:tc>
      </w:tr>
    </w:tbl>
    <w:p>
      <w:pPr>
        <w:tabs>
          <w:tab w:val="left" w:pos="142"/>
        </w:tabs>
        <w:spacing w:line="500" w:lineRule="exact"/>
        <w:ind w:firstLine="480" w:firstLineChars="200"/>
        <w:jc w:val="left"/>
        <w:rPr>
          <w:rFonts w:ascii="仿宋" w:hAnsi="仿宋" w:eastAsia="仿宋" w:cs="仿宋"/>
          <w:color w:val="000000"/>
          <w:sz w:val="24"/>
          <w:szCs w:val="24"/>
        </w:rPr>
      </w:pPr>
      <w:bookmarkStart w:id="87" w:name="_Toc6890"/>
      <w:bookmarkStart w:id="88" w:name="_Toc5613"/>
      <w:bookmarkStart w:id="89" w:name="_Toc818"/>
      <w:bookmarkStart w:id="90" w:name="_Toc12366"/>
      <w:r>
        <w:rPr>
          <w:rFonts w:hint="eastAsia" w:ascii="仿宋" w:hAnsi="仿宋" w:eastAsia="仿宋" w:cs="仿宋"/>
          <w:color w:val="000000"/>
          <w:sz w:val="24"/>
          <w:szCs w:val="24"/>
        </w:rPr>
        <w:t>响应供应商全称（公章）：        </w:t>
      </w:r>
    </w:p>
    <w:p>
      <w:pPr>
        <w:tabs>
          <w:tab w:val="left" w:pos="142"/>
        </w:tabs>
        <w:spacing w:line="50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法定代表人（授权代表）（签字或盖章）：</w:t>
      </w:r>
    </w:p>
    <w:p>
      <w:pPr>
        <w:tabs>
          <w:tab w:val="left" w:pos="142"/>
        </w:tabs>
        <w:spacing w:line="50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日期：   </w:t>
      </w:r>
    </w:p>
    <w:p>
      <w:pPr>
        <w:tabs>
          <w:tab w:val="left" w:pos="142"/>
        </w:tabs>
        <w:spacing w:line="500" w:lineRule="exact"/>
        <w:jc w:val="left"/>
        <w:rPr>
          <w:rFonts w:ascii="仿宋" w:hAnsi="仿宋" w:eastAsia="仿宋" w:cs="仿宋"/>
          <w:color w:val="000000"/>
          <w:sz w:val="24"/>
        </w:rPr>
      </w:pPr>
      <w:r>
        <w:rPr>
          <w:rFonts w:hint="eastAsia" w:ascii="仿宋" w:hAnsi="仿宋" w:eastAsia="仿宋" w:cs="仿宋"/>
          <w:color w:val="000000"/>
          <w:sz w:val="24"/>
        </w:rPr>
        <w:t>注</w:t>
      </w:r>
      <w:r>
        <w:rPr>
          <w:rFonts w:ascii="仿宋" w:hAnsi="仿宋" w:eastAsia="仿宋" w:cs="仿宋"/>
          <w:color w:val="000000"/>
          <w:sz w:val="24"/>
        </w:rPr>
        <w:t>:</w:t>
      </w:r>
    </w:p>
    <w:p>
      <w:pPr>
        <w:spacing w:line="440" w:lineRule="exact"/>
        <w:ind w:firstLine="480" w:firstLineChars="200"/>
        <w:jc w:val="left"/>
        <w:rPr>
          <w:rFonts w:hint="eastAsia" w:ascii="仿宋" w:hAnsi="仿宋" w:eastAsia="仿宋" w:cs="仿宋"/>
          <w:color w:val="000000"/>
          <w:sz w:val="24"/>
          <w:lang w:eastAsia="zh-CN"/>
        </w:rPr>
      </w:pPr>
      <w:r>
        <w:rPr>
          <w:rFonts w:hint="eastAsia" w:ascii="仿宋" w:hAnsi="仿宋" w:eastAsia="仿宋" w:cs="仿宋"/>
          <w:color w:val="000000"/>
          <w:sz w:val="24"/>
          <w:lang w:eastAsia="zh-CN"/>
        </w:rPr>
        <w:t>（1）报价包含人工、材料、机械、运输费、安装、竣工资料、质保期内的保修服务费、保险、管理费、利润、</w:t>
      </w:r>
      <w:r>
        <w:rPr>
          <w:rFonts w:hint="eastAsia" w:ascii="仿宋" w:hAnsi="仿宋" w:eastAsia="仿宋" w:cs="仿宋"/>
          <w:color w:val="000000"/>
          <w:sz w:val="24"/>
          <w:lang w:val="en-US" w:eastAsia="zh-CN"/>
        </w:rPr>
        <w:t>税金、</w:t>
      </w:r>
      <w:r>
        <w:rPr>
          <w:rFonts w:hint="eastAsia" w:ascii="仿宋" w:hAnsi="仿宋" w:eastAsia="仿宋" w:cs="仿宋"/>
          <w:color w:val="000000"/>
          <w:sz w:val="24"/>
          <w:lang w:eastAsia="zh-CN"/>
        </w:rPr>
        <w:t>政策性文件规定及合同包含的所有风险、责任等及其它一切应有费用，结算时综合单价按本次报价执行，工程量按实结算。</w:t>
      </w:r>
    </w:p>
    <w:p>
      <w:pPr>
        <w:spacing w:line="440" w:lineRule="exact"/>
        <w:ind w:firstLine="480" w:firstLineChars="200"/>
        <w:jc w:val="left"/>
        <w:rPr>
          <w:rFonts w:hint="eastAsia" w:ascii="仿宋" w:hAnsi="仿宋" w:eastAsia="仿宋" w:cs="仿宋"/>
          <w:color w:val="000000"/>
          <w:sz w:val="24"/>
          <w:lang w:val="zh-CN" w:eastAsia="zh-CN"/>
        </w:rPr>
      </w:pPr>
      <w:r>
        <w:rPr>
          <w:rFonts w:hint="eastAsia" w:ascii="仿宋" w:hAnsi="仿宋" w:eastAsia="仿宋" w:cs="仿宋"/>
          <w:color w:val="000000"/>
          <w:sz w:val="24"/>
          <w:lang w:val="zh-CN" w:eastAsia="zh-CN"/>
        </w:rPr>
        <w:t>（</w:t>
      </w:r>
      <w:r>
        <w:rPr>
          <w:rFonts w:hint="eastAsia" w:ascii="仿宋" w:hAnsi="仿宋" w:eastAsia="仿宋" w:cs="仿宋"/>
          <w:color w:val="000000"/>
          <w:sz w:val="24"/>
          <w:lang w:eastAsia="zh-CN"/>
        </w:rPr>
        <w:t>2</w:t>
      </w:r>
      <w:r>
        <w:rPr>
          <w:rFonts w:hint="eastAsia" w:ascii="仿宋" w:hAnsi="仿宋" w:eastAsia="仿宋" w:cs="仿宋"/>
          <w:color w:val="000000"/>
          <w:sz w:val="24"/>
          <w:lang w:val="zh-CN" w:eastAsia="zh-CN"/>
        </w:rPr>
        <w:t>）</w:t>
      </w:r>
      <w:r>
        <w:rPr>
          <w:rFonts w:hint="eastAsia" w:ascii="仿宋" w:hAnsi="仿宋" w:eastAsia="仿宋" w:cs="仿宋"/>
          <w:color w:val="000000"/>
          <w:sz w:val="24"/>
          <w:lang w:eastAsia="zh-CN"/>
        </w:rPr>
        <w:t>相应</w:t>
      </w:r>
      <w:r>
        <w:rPr>
          <w:rFonts w:hint="eastAsia" w:ascii="仿宋" w:hAnsi="仿宋" w:eastAsia="仿宋" w:cs="仿宋"/>
          <w:color w:val="000000"/>
          <w:sz w:val="24"/>
          <w:lang w:val="zh-CN" w:eastAsia="zh-CN"/>
        </w:rPr>
        <w:t>商不得实质性改动开标一览表格式及内容。</w:t>
      </w:r>
      <w:bookmarkStart w:id="91" w:name="_Toc14915"/>
    </w:p>
    <w:p>
      <w:pPr>
        <w:spacing w:line="440" w:lineRule="exact"/>
        <w:ind w:firstLine="480" w:firstLineChars="200"/>
        <w:jc w:val="left"/>
        <w:rPr>
          <w:rFonts w:hint="eastAsia" w:ascii="仿宋" w:hAnsi="仿宋" w:eastAsia="仿宋" w:cs="仿宋"/>
          <w:color w:val="000000"/>
          <w:sz w:val="24"/>
          <w:lang w:eastAsia="zh-CN"/>
        </w:rPr>
      </w:pPr>
    </w:p>
    <w:bookmarkEnd w:id="91"/>
    <w:p>
      <w:pPr>
        <w:pStyle w:val="40"/>
        <w:numPr>
          <w:ilvl w:val="0"/>
          <w:numId w:val="0"/>
        </w:numPr>
        <w:jc w:val="center"/>
        <w:outlineLvl w:val="9"/>
        <w:rPr>
          <w:rFonts w:hint="eastAsia" w:ascii="楷体" w:hAnsi="楷体" w:eastAsia="楷体" w:cs="楷体"/>
        </w:rPr>
      </w:pPr>
    </w:p>
    <w:p>
      <w:pPr>
        <w:pStyle w:val="40"/>
        <w:numPr>
          <w:ilvl w:val="0"/>
          <w:numId w:val="0"/>
        </w:numPr>
        <w:jc w:val="center"/>
        <w:outlineLvl w:val="9"/>
        <w:rPr>
          <w:rFonts w:hint="eastAsia" w:ascii="楷体" w:hAnsi="楷体" w:eastAsia="楷体" w:cs="楷体"/>
        </w:rPr>
      </w:pPr>
    </w:p>
    <w:p>
      <w:pPr>
        <w:pStyle w:val="40"/>
        <w:numPr>
          <w:ilvl w:val="0"/>
          <w:numId w:val="0"/>
        </w:numPr>
        <w:jc w:val="center"/>
        <w:outlineLvl w:val="9"/>
        <w:rPr>
          <w:rFonts w:hint="eastAsia" w:ascii="楷体" w:hAnsi="楷体" w:eastAsia="楷体" w:cs="楷体"/>
        </w:rPr>
      </w:pPr>
    </w:p>
    <w:p>
      <w:pPr>
        <w:rPr>
          <w:rFonts w:hint="eastAsia" w:ascii="楷体" w:hAnsi="楷体" w:eastAsia="楷体" w:cs="楷体"/>
          <w:b/>
          <w:bCs/>
        </w:rPr>
      </w:pPr>
    </w:p>
    <w:p>
      <w:pPr>
        <w:pStyle w:val="2"/>
        <w:ind w:firstLine="211"/>
        <w:rPr>
          <w:rFonts w:hint="eastAsia" w:ascii="楷体" w:hAnsi="楷体" w:eastAsia="楷体" w:cs="楷体"/>
          <w:b/>
          <w:bCs/>
        </w:rPr>
      </w:pPr>
    </w:p>
    <w:p>
      <w:pPr>
        <w:pStyle w:val="2"/>
        <w:ind w:firstLine="211"/>
        <w:rPr>
          <w:rFonts w:hint="eastAsia" w:ascii="楷体" w:hAnsi="楷体" w:eastAsia="楷体" w:cs="楷体"/>
          <w:b/>
          <w:bCs/>
        </w:rPr>
      </w:pPr>
    </w:p>
    <w:p>
      <w:pPr>
        <w:pStyle w:val="2"/>
        <w:ind w:firstLine="211"/>
        <w:rPr>
          <w:rFonts w:hint="eastAsia" w:ascii="楷体" w:hAnsi="楷体" w:eastAsia="楷体" w:cs="楷体"/>
          <w:b/>
          <w:bCs/>
        </w:rPr>
      </w:pPr>
    </w:p>
    <w:p>
      <w:pPr>
        <w:pStyle w:val="40"/>
        <w:numPr>
          <w:ilvl w:val="0"/>
          <w:numId w:val="0"/>
        </w:numPr>
        <w:jc w:val="center"/>
        <w:outlineLvl w:val="9"/>
        <w:rPr>
          <w:rFonts w:hint="eastAsia" w:ascii="楷体" w:hAnsi="楷体" w:eastAsia="楷体" w:cs="楷体"/>
        </w:rPr>
      </w:pPr>
    </w:p>
    <w:bookmarkEnd w:id="87"/>
    <w:p>
      <w:pPr>
        <w:pStyle w:val="40"/>
        <w:numPr>
          <w:ilvl w:val="0"/>
          <w:numId w:val="0"/>
        </w:numPr>
        <w:jc w:val="center"/>
        <w:rPr>
          <w:rFonts w:hint="eastAsia" w:ascii="楷体" w:hAnsi="楷体" w:eastAsia="楷体" w:cs="楷体"/>
        </w:rPr>
      </w:pPr>
      <w:bookmarkStart w:id="92" w:name="_Toc8031"/>
      <w:bookmarkStart w:id="93" w:name="_Toc32133"/>
      <w:bookmarkStart w:id="94" w:name="_Toc1752"/>
      <w:bookmarkStart w:id="95" w:name="_Toc690"/>
      <w:bookmarkStart w:id="96" w:name="_Toc16074"/>
      <w:bookmarkStart w:id="97" w:name="_Toc448482858"/>
      <w:bookmarkStart w:id="98" w:name="_Toc365968485"/>
      <w:bookmarkStart w:id="99" w:name="_Toc351733250"/>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r>
        <w:rPr>
          <w:rFonts w:hint="eastAsia" w:ascii="楷体" w:hAnsi="楷体" w:eastAsia="楷体" w:cs="楷体"/>
        </w:rPr>
        <w:t>三、服务要求响应表</w:t>
      </w:r>
      <w:bookmarkEnd w:id="92"/>
      <w:bookmarkEnd w:id="93"/>
      <w:bookmarkEnd w:id="94"/>
      <w:bookmarkEnd w:id="95"/>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435"/>
        <w:gridCol w:w="3634"/>
        <w:gridCol w:w="1559"/>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序号</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项目</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磋商要求</w:t>
            </w:r>
          </w:p>
        </w:tc>
        <w:tc>
          <w:tcPr>
            <w:tcW w:w="1559"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响应单位相应情况</w:t>
            </w:r>
          </w:p>
        </w:tc>
        <w:tc>
          <w:tcPr>
            <w:tcW w:w="1187"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1</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2</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3</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4</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bl>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注：本表已列项须逐项说明，其余项可由响应单位根据响应文件情况自行扩展</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响应供应商全称（公章）：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法定代表人（授权代表）（签字或盖章）：            </w:t>
      </w:r>
    </w:p>
    <w:p>
      <w:pPr>
        <w:adjustRightInd w:val="0"/>
        <w:snapToGrid w:val="0"/>
        <w:spacing w:line="360" w:lineRule="auto"/>
        <w:rPr>
          <w:rFonts w:hint="eastAsia" w:ascii="仿宋" w:hAnsi="仿宋" w:eastAsia="仿宋" w:cs="仿宋"/>
          <w:color w:val="000000"/>
          <w:sz w:val="24"/>
          <w:szCs w:val="24"/>
        </w:rPr>
      </w:pPr>
      <w:r>
        <w:rPr>
          <w:rFonts w:hint="eastAsia" w:ascii="楷体" w:hAnsi="楷体" w:eastAsia="楷体" w:cs="楷体"/>
          <w:sz w:val="24"/>
          <w:szCs w:val="24"/>
        </w:rPr>
        <w:t>日    期：</w:t>
      </w:r>
    </w:p>
    <w:p>
      <w:pPr>
        <w:widowControl/>
        <w:topLinePunct/>
        <w:snapToGrid w:val="0"/>
        <w:spacing w:line="360" w:lineRule="auto"/>
        <w:jc w:val="center"/>
        <w:rPr>
          <w:rFonts w:hint="eastAsia" w:ascii="楷体" w:hAnsi="楷体" w:eastAsia="楷体" w:cs="楷体"/>
          <w:b/>
          <w:bCs/>
          <w:sz w:val="28"/>
          <w:szCs w:val="28"/>
        </w:rPr>
      </w:pPr>
      <w:r>
        <w:rPr>
          <w:rFonts w:hint="eastAsia" w:ascii="楷体" w:hAnsi="楷体" w:eastAsia="楷体" w:cs="楷体"/>
          <w:b/>
          <w:bCs/>
          <w:sz w:val="28"/>
          <w:szCs w:val="28"/>
        </w:rPr>
        <w:t>商务要求响应表</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435"/>
        <w:gridCol w:w="3634"/>
        <w:gridCol w:w="1559"/>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序号</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项目</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磋商要求</w:t>
            </w:r>
          </w:p>
        </w:tc>
        <w:tc>
          <w:tcPr>
            <w:tcW w:w="1559"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响应单位相应情况</w:t>
            </w:r>
          </w:p>
        </w:tc>
        <w:tc>
          <w:tcPr>
            <w:tcW w:w="1187"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1</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2</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3</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4</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bl>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注：本表已列项须逐项说明，其余项可由响应单位根据响应文件情况自行扩展</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响应供应商全称（公章）：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法定代表人（授权代表）（签字或盖章）：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日    期：</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1 \* GB3</w:instrText>
      </w:r>
      <w:r>
        <w:rPr>
          <w:rFonts w:hint="eastAsia" w:ascii="楷体" w:hAnsi="楷体" w:eastAsia="楷体" w:cs="楷体"/>
          <w:sz w:val="24"/>
          <w:szCs w:val="24"/>
        </w:rPr>
        <w:fldChar w:fldCharType="separate"/>
      </w:r>
      <w:r>
        <w:rPr>
          <w:rFonts w:hint="eastAsia" w:ascii="楷体" w:hAnsi="楷体" w:eastAsia="楷体" w:cs="楷体"/>
          <w:sz w:val="24"/>
          <w:szCs w:val="24"/>
        </w:rPr>
        <w:t>①</w:t>
      </w:r>
      <w:r>
        <w:rPr>
          <w:rFonts w:hint="eastAsia" w:ascii="楷体" w:hAnsi="楷体" w:eastAsia="楷体" w:cs="楷体"/>
          <w:sz w:val="24"/>
          <w:szCs w:val="24"/>
        </w:rPr>
        <w:fldChar w:fldCharType="end"/>
      </w:r>
      <w:r>
        <w:rPr>
          <w:rFonts w:hint="eastAsia" w:ascii="楷体" w:hAnsi="楷体" w:eastAsia="楷体" w:cs="楷体"/>
          <w:sz w:val="24"/>
          <w:szCs w:val="24"/>
        </w:rPr>
        <w:t>此表为表样，行数可自行添加，但表式不变。</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2 \* GB3</w:instrText>
      </w:r>
      <w:r>
        <w:rPr>
          <w:rFonts w:hint="eastAsia" w:ascii="楷体" w:hAnsi="楷体" w:eastAsia="楷体" w:cs="楷体"/>
          <w:sz w:val="24"/>
          <w:szCs w:val="24"/>
        </w:rPr>
        <w:fldChar w:fldCharType="separate"/>
      </w:r>
      <w:r>
        <w:rPr>
          <w:rFonts w:hint="eastAsia" w:ascii="楷体" w:hAnsi="楷体" w:eastAsia="楷体" w:cs="楷体"/>
          <w:sz w:val="24"/>
          <w:szCs w:val="24"/>
        </w:rPr>
        <w:t>②</w:t>
      </w:r>
      <w:r>
        <w:rPr>
          <w:rFonts w:hint="eastAsia" w:ascii="楷体" w:hAnsi="楷体" w:eastAsia="楷体" w:cs="楷体"/>
          <w:sz w:val="24"/>
          <w:szCs w:val="24"/>
        </w:rPr>
        <w:fldChar w:fldCharType="end"/>
      </w:r>
      <w:r>
        <w:rPr>
          <w:rFonts w:hint="eastAsia" w:ascii="楷体" w:hAnsi="楷体" w:eastAsia="楷体" w:cs="楷体"/>
          <w:sz w:val="24"/>
          <w:szCs w:val="24"/>
        </w:rPr>
        <w:t>是否偏离用符号“+、=、-”分别表示正偏离、完全响应、负偏离。</w:t>
      </w:r>
    </w:p>
    <w:p>
      <w:pPr>
        <w:adjustRightInd w:val="0"/>
        <w:snapToGrid w:val="0"/>
        <w:spacing w:line="360" w:lineRule="auto"/>
        <w:rPr>
          <w:rFonts w:ascii="仿宋" w:hAnsi="仿宋" w:eastAsia="仿宋" w:cs="仿宋"/>
          <w:color w:val="000000"/>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3 \* GB3</w:instrText>
      </w:r>
      <w:r>
        <w:rPr>
          <w:rFonts w:hint="eastAsia" w:ascii="楷体" w:hAnsi="楷体" w:eastAsia="楷体" w:cs="楷体"/>
          <w:sz w:val="24"/>
          <w:szCs w:val="24"/>
        </w:rPr>
        <w:fldChar w:fldCharType="separate"/>
      </w:r>
      <w:r>
        <w:rPr>
          <w:rFonts w:hint="eastAsia" w:ascii="楷体" w:hAnsi="楷体" w:eastAsia="楷体" w:cs="楷体"/>
          <w:sz w:val="24"/>
          <w:szCs w:val="24"/>
        </w:rPr>
        <w:t>③</w:t>
      </w:r>
      <w:r>
        <w:rPr>
          <w:rFonts w:hint="eastAsia" w:ascii="楷体" w:hAnsi="楷体" w:eastAsia="楷体" w:cs="楷体"/>
          <w:sz w:val="24"/>
          <w:szCs w:val="24"/>
        </w:rPr>
        <w:fldChar w:fldCharType="end"/>
      </w:r>
      <w:r>
        <w:rPr>
          <w:rFonts w:hint="eastAsia" w:ascii="楷体" w:hAnsi="楷体" w:eastAsia="楷体" w:cs="楷体"/>
          <w:sz w:val="24"/>
          <w:szCs w:val="24"/>
        </w:rPr>
        <w:t>响应单位必须仔细阅读本磋商文件所有服务要求，并对具体服务响应出现正负偏离的条目列入上表。响应单位必须根据所投服务的实际情况如实填写，评委会如发现有虚假描述的，该响应文件视为无效。</w:t>
      </w:r>
    </w:p>
    <w:p>
      <w:pPr>
        <w:pStyle w:val="40"/>
        <w:numPr>
          <w:ilvl w:val="0"/>
          <w:numId w:val="0"/>
        </w:numPr>
        <w:jc w:val="center"/>
        <w:rPr>
          <w:rFonts w:hint="eastAsia" w:ascii="楷体" w:hAnsi="楷体" w:eastAsia="楷体" w:cs="楷体"/>
        </w:rPr>
      </w:pPr>
      <w:bookmarkStart w:id="100" w:name="_Toc15328"/>
      <w:bookmarkStart w:id="101" w:name="_Toc27516"/>
      <w:r>
        <w:rPr>
          <w:rFonts w:hint="eastAsia" w:ascii="楷体" w:hAnsi="楷体" w:eastAsia="楷体" w:cs="楷体"/>
        </w:rPr>
        <w:t>四、服务方案</w:t>
      </w:r>
      <w:bookmarkEnd w:id="100"/>
      <w:bookmarkEnd w:id="101"/>
    </w:p>
    <w:p>
      <w:pPr>
        <w:jc w:val="center"/>
        <w:rPr>
          <w:rFonts w:hint="eastAsia" w:ascii="楷体" w:hAnsi="楷体" w:eastAsia="楷体" w:cs="楷体"/>
          <w:b/>
          <w:sz w:val="24"/>
        </w:rPr>
      </w:pPr>
      <w:r>
        <w:rPr>
          <w:rFonts w:hint="eastAsia" w:ascii="楷体" w:hAnsi="楷体" w:eastAsia="楷体" w:cs="楷体"/>
          <w:b/>
          <w:sz w:val="24"/>
        </w:rPr>
        <w:t>（格式自定）</w:t>
      </w:r>
    </w:p>
    <w:bookmarkEnd w:id="96"/>
    <w:bookmarkEnd w:id="97"/>
    <w:bookmarkEnd w:id="98"/>
    <w:bookmarkEnd w:id="99"/>
    <w:p>
      <w:pPr>
        <w:pStyle w:val="40"/>
        <w:numPr>
          <w:ilvl w:val="0"/>
          <w:numId w:val="0"/>
        </w:numPr>
        <w:jc w:val="center"/>
        <w:rPr>
          <w:rFonts w:hint="eastAsia" w:ascii="楷体" w:hAnsi="楷体" w:eastAsia="楷体" w:cs="楷体"/>
        </w:rPr>
      </w:pPr>
      <w:bookmarkStart w:id="102" w:name="_Toc25230"/>
      <w:bookmarkStart w:id="103" w:name="_Toc32325"/>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p>
      <w:pPr>
        <w:pStyle w:val="40"/>
        <w:numPr>
          <w:ilvl w:val="0"/>
          <w:numId w:val="0"/>
        </w:numPr>
        <w:jc w:val="center"/>
        <w:rPr>
          <w:rFonts w:hint="eastAsia" w:ascii="楷体" w:hAnsi="楷体" w:eastAsia="楷体" w:cs="楷体"/>
        </w:rPr>
      </w:pPr>
    </w:p>
    <w:bookmarkEnd w:id="102"/>
    <w:bookmarkEnd w:id="103"/>
    <w:p>
      <w:pPr>
        <w:pStyle w:val="40"/>
        <w:numPr>
          <w:ilvl w:val="0"/>
          <w:numId w:val="0"/>
        </w:numPr>
        <w:jc w:val="center"/>
        <w:rPr>
          <w:rFonts w:hint="eastAsia" w:ascii="楷体" w:hAnsi="楷体" w:eastAsia="楷体" w:cs="楷体"/>
        </w:rPr>
      </w:pPr>
      <w:bookmarkStart w:id="104" w:name="_Toc26771"/>
      <w:bookmarkStart w:id="105" w:name="_Toc5890"/>
      <w:bookmarkStart w:id="106" w:name="_Toc407"/>
      <w:bookmarkStart w:id="107" w:name="_Toc25699"/>
      <w:r>
        <w:rPr>
          <w:rFonts w:hint="eastAsia" w:ascii="楷体" w:hAnsi="楷体" w:eastAsia="楷体" w:cs="楷体"/>
        </w:rPr>
        <w:t>五、企业资质</w:t>
      </w:r>
      <w:bookmarkEnd w:id="104"/>
      <w:bookmarkEnd w:id="105"/>
      <w:bookmarkEnd w:id="106"/>
      <w:bookmarkEnd w:id="107"/>
    </w:p>
    <w:p>
      <w:pPr>
        <w:jc w:val="center"/>
        <w:rPr>
          <w:rFonts w:ascii="仿宋" w:hAnsi="仿宋" w:eastAsia="仿宋" w:cs="宋体"/>
          <w:b/>
          <w:color w:val="000000"/>
          <w:kern w:val="0"/>
          <w:sz w:val="24"/>
          <w:szCs w:val="24"/>
        </w:rPr>
      </w:pP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2580"/>
        <w:gridCol w:w="3176"/>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序号</w:t>
            </w:r>
          </w:p>
        </w:tc>
        <w:tc>
          <w:tcPr>
            <w:tcW w:w="2580" w:type="dxa"/>
            <w:noWrap w:val="0"/>
            <w:vAlign w:val="center"/>
          </w:tcPr>
          <w:p>
            <w:pPr>
              <w:ind w:firstLine="240" w:firstLineChars="100"/>
              <w:jc w:val="center"/>
              <w:rPr>
                <w:rFonts w:ascii="仿宋" w:hAnsi="仿宋" w:eastAsia="仿宋" w:cs="仿宋"/>
                <w:color w:val="000000"/>
                <w:sz w:val="24"/>
                <w:szCs w:val="24"/>
              </w:rPr>
            </w:pPr>
            <w:r>
              <w:rPr>
                <w:rFonts w:hint="eastAsia" w:ascii="仿宋" w:hAnsi="仿宋" w:eastAsia="仿宋" w:cs="仿宋"/>
                <w:color w:val="000000"/>
                <w:sz w:val="24"/>
                <w:szCs w:val="24"/>
              </w:rPr>
              <w:t>资质名称</w:t>
            </w:r>
          </w:p>
        </w:tc>
        <w:tc>
          <w:tcPr>
            <w:tcW w:w="3176"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材料复印件页码位置</w:t>
            </w:r>
          </w:p>
        </w:tc>
        <w:tc>
          <w:tcPr>
            <w:tcW w:w="1800"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1</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2</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3</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4</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5</w:t>
            </w:r>
          </w:p>
        </w:tc>
        <w:tc>
          <w:tcPr>
            <w:tcW w:w="2580" w:type="dxa"/>
            <w:noWrap w:val="0"/>
            <w:vAlign w:val="center"/>
          </w:tcPr>
          <w:p>
            <w:pPr>
              <w:jc w:val="center"/>
              <w:rPr>
                <w:rFonts w:ascii="仿宋" w:hAnsi="仿宋" w:eastAsia="仿宋" w:cs="仿宋"/>
                <w:color w:val="FF0000"/>
                <w:sz w:val="24"/>
                <w:szCs w:val="24"/>
              </w:rPr>
            </w:pPr>
            <w:r>
              <w:rPr>
                <w:rFonts w:hint="eastAsia" w:ascii="仿宋" w:hAnsi="仿宋" w:eastAsia="仿宋" w:cs="仿宋"/>
                <w:sz w:val="24"/>
                <w:szCs w:val="24"/>
              </w:rPr>
              <w:t>...</w:t>
            </w: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bl>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 xml:space="preserve">响应供应商全称（公章）：                        </w:t>
      </w:r>
    </w:p>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法定代表人（授权代表）（签字或盖章）：</w:t>
      </w:r>
    </w:p>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日期：</w:t>
      </w: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pStyle w:val="40"/>
        <w:numPr>
          <w:ilvl w:val="0"/>
          <w:numId w:val="0"/>
        </w:numPr>
        <w:rPr>
          <w:rFonts w:hint="eastAsia" w:ascii="楷体" w:hAnsi="楷体" w:eastAsia="楷体" w:cs="楷体"/>
        </w:rPr>
      </w:pPr>
    </w:p>
    <w:p>
      <w:pPr>
        <w:rPr>
          <w:rFonts w:hint="eastAsia"/>
        </w:rPr>
      </w:pPr>
    </w:p>
    <w:p>
      <w:pPr>
        <w:pStyle w:val="40"/>
        <w:numPr>
          <w:ilvl w:val="0"/>
          <w:numId w:val="0"/>
        </w:numPr>
        <w:rPr>
          <w:rFonts w:hint="eastAsia" w:ascii="楷体" w:hAnsi="楷体" w:eastAsia="楷体" w:cs="楷体"/>
        </w:rPr>
      </w:pPr>
    </w:p>
    <w:p>
      <w:pPr>
        <w:pStyle w:val="40"/>
        <w:numPr>
          <w:ilvl w:val="0"/>
          <w:numId w:val="4"/>
        </w:numPr>
        <w:jc w:val="center"/>
        <w:rPr>
          <w:rFonts w:ascii="黑体" w:hAnsi="Arial" w:eastAsia="黑体" w:cs="Arial"/>
          <w:color w:val="000000" w:themeColor="text1"/>
          <w:sz w:val="36"/>
          <w:szCs w:val="36"/>
          <w:lang w:val="zh-CN"/>
          <w14:textFill>
            <w14:solidFill>
              <w14:schemeClr w14:val="tx1"/>
            </w14:solidFill>
          </w14:textFill>
        </w:rPr>
      </w:pPr>
      <w:bookmarkStart w:id="108" w:name="_Toc32418"/>
      <w:bookmarkStart w:id="109" w:name="_Toc20453"/>
      <w:r>
        <w:rPr>
          <w:rFonts w:hint="eastAsia" w:ascii="楷体" w:hAnsi="楷体" w:eastAsia="楷体" w:cs="楷体"/>
          <w:b/>
          <w:bCs/>
          <w:lang w:val="en-US" w:eastAsia="zh-CN"/>
        </w:rPr>
        <w:t>合同条款及格式</w:t>
      </w:r>
      <w:bookmarkEnd w:id="108"/>
    </w:p>
    <w:p>
      <w:pPr>
        <w:rPr>
          <w:rFonts w:ascii="宋体" w:hAnsi="宋体" w:cs="宋体"/>
          <w:color w:val="000000" w:themeColor="text1"/>
          <w:szCs w:val="21"/>
          <w14:textFill>
            <w14:solidFill>
              <w14:schemeClr w14:val="tx1"/>
            </w14:solidFill>
          </w14:textFill>
        </w:rPr>
      </w:pPr>
    </w:p>
    <w:p>
      <w:pPr>
        <w:spacing w:line="360" w:lineRule="auto"/>
        <w:jc w:val="center"/>
        <w:rPr>
          <w:rFonts w:hint="eastAsia" w:ascii="方正小标宋_GBK" w:eastAsia="方正小标宋_GBK"/>
          <w:sz w:val="44"/>
          <w:szCs w:val="44"/>
          <w:u w:val="single"/>
        </w:rPr>
      </w:pPr>
      <w:r>
        <w:rPr>
          <w:rFonts w:hint="eastAsia" w:ascii="方正小标宋_GBK" w:eastAsia="方正小标宋_GBK"/>
          <w:sz w:val="44"/>
          <w:szCs w:val="44"/>
          <w:u w:val="single"/>
        </w:rPr>
        <w:t>建设工程施工合同</w:t>
      </w:r>
    </w:p>
    <w:p>
      <w:pPr>
        <w:spacing w:line="360" w:lineRule="auto"/>
        <w:jc w:val="center"/>
        <w:rPr>
          <w:rFonts w:hint="eastAsia" w:ascii="仿宋_GB2312" w:eastAsia="仿宋_GB2312"/>
          <w:b/>
          <w:sz w:val="24"/>
        </w:rPr>
      </w:pPr>
      <w:r>
        <w:rPr>
          <w:rFonts w:hint="eastAsia" w:ascii="仿宋_GB2312" w:eastAsia="仿宋_GB2312"/>
          <w:b/>
          <w:sz w:val="24"/>
        </w:rPr>
        <w:t>合同编号：</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第一部分　协议书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发包人（全称）：</w:t>
      </w:r>
      <w:r>
        <w:rPr>
          <w:rFonts w:hint="eastAsia" w:ascii="宋体" w:hAnsi="宋体" w:cs="宋体"/>
          <w:color w:val="000000"/>
          <w:kern w:val="0"/>
          <w:sz w:val="24"/>
          <w:u w:val="single"/>
        </w:rPr>
        <w:t xml:space="preserve">南京交通职业技术学院    </w:t>
      </w:r>
    </w:p>
    <w:p>
      <w:pPr>
        <w:widowControl/>
        <w:shd w:val="clear" w:color="auto" w:fill="FFFFFF"/>
        <w:spacing w:line="330" w:lineRule="atLeast"/>
        <w:jc w:val="left"/>
        <w:rPr>
          <w:rFonts w:ascii="宋体" w:hAnsi="宋体" w:cs="宋体"/>
          <w:color w:val="000000"/>
          <w:kern w:val="0"/>
          <w:sz w:val="24"/>
          <w:u w:val="single"/>
        </w:rPr>
      </w:pPr>
      <w:r>
        <w:rPr>
          <w:rFonts w:ascii="宋体" w:hAnsi="宋体" w:cs="宋体"/>
          <w:color w:val="000000"/>
          <w:kern w:val="0"/>
          <w:sz w:val="24"/>
        </w:rPr>
        <w:t>　　承包人（全称）：</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依照《中华人民共和国合同法》、《中华人民共和国建筑法》及其他有关法律、行政法规，遵循平等、自愿、公平和诚实信用的原则，双方就本建设工程施工事项协商一致，订立本合同。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一、工程概况</w:t>
      </w:r>
    </w:p>
    <w:p>
      <w:pPr>
        <w:widowControl/>
        <w:shd w:val="clear" w:color="auto" w:fill="FFFFFF"/>
        <w:spacing w:line="330" w:lineRule="atLeast"/>
        <w:jc w:val="left"/>
        <w:rPr>
          <w:rFonts w:hint="eastAsia" w:ascii="宋体" w:hAnsi="宋体" w:cs="宋体"/>
          <w:color w:val="000000"/>
          <w:kern w:val="0"/>
          <w:sz w:val="24"/>
        </w:rPr>
      </w:pPr>
      <w:r>
        <w:rPr>
          <w:rFonts w:ascii="宋体" w:hAnsi="宋体" w:cs="宋体"/>
          <w:color w:val="000000"/>
          <w:kern w:val="0"/>
          <w:sz w:val="24"/>
        </w:rPr>
        <w:t>　　工程名称：</w:t>
      </w:r>
    </w:p>
    <w:p>
      <w:pPr>
        <w:widowControl/>
        <w:shd w:val="clear" w:color="auto" w:fill="FFFFFF"/>
        <w:spacing w:line="330" w:lineRule="atLeast"/>
        <w:ind w:firstLine="465"/>
        <w:jc w:val="left"/>
        <w:rPr>
          <w:rFonts w:hint="eastAsia" w:ascii="宋体" w:hAnsi="宋体" w:cs="宋体"/>
          <w:color w:val="000000"/>
          <w:kern w:val="0"/>
          <w:sz w:val="24"/>
        </w:rPr>
      </w:pPr>
      <w:r>
        <w:rPr>
          <w:rFonts w:ascii="宋体" w:hAnsi="宋体" w:cs="宋体"/>
          <w:color w:val="000000"/>
          <w:kern w:val="0"/>
          <w:sz w:val="24"/>
        </w:rPr>
        <w:t>工程地点：</w:t>
      </w:r>
      <w:r>
        <w:rPr>
          <w:rFonts w:hint="eastAsia" w:ascii="微软雅黑" w:hAnsi="微软雅黑"/>
          <w:color w:val="222222"/>
        </w:rPr>
        <w:t>南京交通职业技术学院内</w:t>
      </w:r>
    </w:p>
    <w:p>
      <w:pPr>
        <w:widowControl/>
        <w:shd w:val="clear" w:color="auto" w:fill="FFFFFF"/>
        <w:spacing w:line="330" w:lineRule="atLeast"/>
        <w:ind w:firstLine="465"/>
        <w:jc w:val="left"/>
        <w:rPr>
          <w:rFonts w:ascii="宋体" w:hAnsi="宋体" w:cs="宋体"/>
          <w:color w:val="000000"/>
          <w:kern w:val="0"/>
          <w:sz w:val="24"/>
        </w:rPr>
      </w:pPr>
      <w:r>
        <w:rPr>
          <w:rFonts w:ascii="宋体" w:hAnsi="宋体" w:cs="宋体"/>
          <w:color w:val="000000"/>
          <w:kern w:val="0"/>
          <w:sz w:val="24"/>
        </w:rPr>
        <w:t>工程内容：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群体工程应附承包人承揽工程项目一览表（附件1）</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工程立项批准文号：＿＿＿＿＿＿＿</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资金来源：</w:t>
      </w:r>
      <w:r>
        <w:rPr>
          <w:rFonts w:hint="eastAsia" w:ascii="宋体" w:hAnsi="宋体" w:cs="宋体"/>
          <w:color w:val="000000"/>
          <w:kern w:val="0"/>
          <w:sz w:val="24"/>
        </w:rPr>
        <w:t>自筹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二、工程承包范围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承包范围：</w:t>
      </w:r>
      <w:r>
        <w:rPr>
          <w:rFonts w:hint="eastAsia" w:ascii="宋体" w:hAnsi="宋体" w:cs="宋体"/>
          <w:color w:val="000000"/>
          <w:kern w:val="0"/>
          <w:sz w:val="24"/>
        </w:rPr>
        <w:t>包工包料</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三、合同工期</w:t>
      </w:r>
    </w:p>
    <w:p>
      <w:pPr>
        <w:widowControl/>
        <w:shd w:val="clear" w:color="auto" w:fill="FFFFFF"/>
        <w:spacing w:line="330" w:lineRule="atLeast"/>
        <w:ind w:firstLine="465"/>
        <w:jc w:val="left"/>
        <w:rPr>
          <w:rFonts w:hint="eastAsia" w:ascii="微软雅黑" w:hAnsi="微软雅黑"/>
          <w:color w:val="222222"/>
        </w:rPr>
      </w:pPr>
      <w:r>
        <w:rPr>
          <w:rFonts w:hint="eastAsia" w:ascii="微软雅黑" w:hAnsi="微软雅黑"/>
          <w:color w:val="222222"/>
        </w:rPr>
        <w:t>开工日期：202</w:t>
      </w:r>
      <w:r>
        <w:rPr>
          <w:rFonts w:hint="eastAsia" w:ascii="微软雅黑" w:hAnsi="微软雅黑"/>
          <w:color w:val="222222"/>
          <w:lang w:val="en-US" w:eastAsia="zh-CN"/>
        </w:rPr>
        <w:t>1</w:t>
      </w:r>
      <w:r>
        <w:rPr>
          <w:rFonts w:hint="eastAsia" w:ascii="微软雅黑" w:hAnsi="微软雅黑"/>
          <w:color w:val="222222"/>
        </w:rPr>
        <w:t>年   月    日（以学校通知准）。</w:t>
      </w:r>
    </w:p>
    <w:p>
      <w:pPr>
        <w:widowControl/>
        <w:shd w:val="clear" w:color="auto" w:fill="FFFFFF"/>
        <w:spacing w:line="330" w:lineRule="atLeast"/>
        <w:ind w:firstLine="465"/>
        <w:jc w:val="left"/>
        <w:rPr>
          <w:rFonts w:ascii="宋体" w:hAnsi="宋体" w:cs="宋体"/>
          <w:color w:val="000000"/>
          <w:kern w:val="0"/>
          <w:sz w:val="24"/>
        </w:rPr>
      </w:pPr>
      <w:r>
        <w:rPr>
          <w:rFonts w:hint="eastAsia" w:ascii="微软雅黑" w:hAnsi="微软雅黑"/>
          <w:color w:val="222222"/>
        </w:rPr>
        <w:t>竣工工期：202</w:t>
      </w:r>
      <w:r>
        <w:rPr>
          <w:rFonts w:hint="eastAsia" w:ascii="微软雅黑" w:hAnsi="微软雅黑"/>
          <w:color w:val="222222"/>
          <w:lang w:val="en-US" w:eastAsia="zh-CN"/>
        </w:rPr>
        <w:t>1</w:t>
      </w:r>
      <w:r>
        <w:rPr>
          <w:rFonts w:hint="eastAsia" w:ascii="微软雅黑" w:hAnsi="微软雅黑"/>
          <w:color w:val="222222"/>
        </w:rPr>
        <w:t xml:space="preserve"> 年  月   日 前。</w:t>
      </w: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四、质量标准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工程质量标准：</w:t>
      </w:r>
      <w:r>
        <w:rPr>
          <w:rFonts w:hint="eastAsia" w:ascii="宋体" w:hAnsi="宋体" w:cs="宋体"/>
          <w:color w:val="000000"/>
          <w:kern w:val="0"/>
          <w:sz w:val="24"/>
        </w:rPr>
        <w:t>合格</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五、合同价款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金额</w:t>
      </w:r>
      <w:r>
        <w:rPr>
          <w:rFonts w:hint="eastAsia" w:ascii="宋体" w:hAnsi="宋体" w:cs="宋体"/>
          <w:color w:val="000000"/>
          <w:kern w:val="0"/>
          <w:sz w:val="24"/>
        </w:rPr>
        <w:t>暂定</w:t>
      </w:r>
      <w:r>
        <w:rPr>
          <w:rFonts w:ascii="宋体" w:hAnsi="宋体" w:cs="宋体"/>
          <w:color w:val="000000"/>
          <w:kern w:val="0"/>
          <w:sz w:val="24"/>
        </w:rPr>
        <w:t>（大写）：</w:t>
      </w:r>
      <w:r>
        <w:rPr>
          <w:rFonts w:hint="eastAsia" w:ascii="宋体" w:hAnsi="宋体" w:cs="宋体"/>
          <w:color w:val="000000"/>
          <w:kern w:val="0"/>
          <w:sz w:val="24"/>
        </w:rPr>
        <w:t xml:space="preserve">        </w:t>
      </w:r>
      <w:r>
        <w:rPr>
          <w:rFonts w:ascii="宋体" w:hAnsi="宋体" w:cs="宋体"/>
          <w:color w:val="000000"/>
          <w:kern w:val="0"/>
          <w:sz w:val="24"/>
        </w:rPr>
        <w:t>（人民币）</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r>
        <w:rPr>
          <w:rFonts w:hint="eastAsia" w:ascii="宋体" w:hAnsi="宋体" w:cs="宋体"/>
          <w:color w:val="000000"/>
          <w:kern w:val="0"/>
          <w:sz w:val="24"/>
        </w:rPr>
        <w:t xml:space="preserve">    </w:t>
      </w:r>
      <w:r>
        <w:rPr>
          <w:rFonts w:ascii="宋体" w:hAnsi="宋体" w:cs="宋体"/>
          <w:color w:val="000000"/>
          <w:kern w:val="0"/>
          <w:sz w:val="24"/>
        </w:rPr>
        <w:t>（</w:t>
      </w:r>
      <w:r>
        <w:rPr>
          <w:rFonts w:hint="eastAsia" w:ascii="宋体" w:hAnsi="宋体" w:cs="宋体"/>
          <w:color w:val="000000"/>
          <w:kern w:val="0"/>
          <w:sz w:val="24"/>
        </w:rPr>
        <w:t>小</w:t>
      </w:r>
      <w:r>
        <w:rPr>
          <w:rFonts w:ascii="宋体" w:hAnsi="宋体" w:cs="宋体"/>
          <w:color w:val="000000"/>
          <w:kern w:val="0"/>
          <w:sz w:val="24"/>
        </w:rPr>
        <w:t>写）</w:t>
      </w:r>
      <w:r>
        <w:rPr>
          <w:rFonts w:hint="eastAsia" w:ascii="宋体" w:hAnsi="宋体" w:cs="宋体"/>
          <w:color w:val="000000"/>
          <w:kern w:val="0"/>
          <w:sz w:val="24"/>
        </w:rPr>
        <w:t>￥</w:t>
      </w:r>
      <w:r>
        <w:rPr>
          <w:rFonts w:ascii="宋体" w:hAnsi="宋体" w:cs="宋体"/>
          <w:color w:val="000000"/>
          <w:kern w:val="0"/>
          <w:sz w:val="24"/>
        </w:rPr>
        <w:t>：</w:t>
      </w:r>
      <w:r>
        <w:rPr>
          <w:rFonts w:hint="eastAsia" w:ascii="Arial" w:hAnsi="Arial" w:cs="Arial"/>
          <w:sz w:val="24"/>
          <w:u w:val="single"/>
        </w:rPr>
        <w:t xml:space="preserve">               </w:t>
      </w:r>
      <w:r>
        <w:rPr>
          <w:rFonts w:ascii="宋体" w:hAnsi="宋体" w:cs="宋体"/>
          <w:color w:val="000000"/>
          <w:kern w:val="0"/>
          <w:sz w:val="24"/>
        </w:rPr>
        <w:t>元</w:t>
      </w:r>
    </w:p>
    <w:p>
      <w:pPr>
        <w:widowControl/>
        <w:shd w:val="clear" w:color="auto" w:fill="FFFFFF"/>
        <w:spacing w:line="330" w:lineRule="atLeast"/>
        <w:jc w:val="left"/>
        <w:rPr>
          <w:rFonts w:hint="eastAsia" w:ascii="宋体" w:hAnsi="宋体" w:cs="宋体"/>
          <w:color w:val="000000"/>
          <w:kern w:val="0"/>
          <w:sz w:val="24"/>
        </w:rPr>
      </w:pPr>
      <w:r>
        <w:rPr>
          <w:rFonts w:ascii="宋体" w:hAnsi="宋体" w:cs="宋体"/>
          <w:color w:val="000000"/>
          <w:kern w:val="0"/>
          <w:sz w:val="24"/>
        </w:rPr>
        <w:t>　　</w:t>
      </w:r>
      <w:r>
        <w:rPr>
          <w:rFonts w:hint="eastAsia" w:ascii="宋体" w:hAnsi="宋体" w:cs="宋体"/>
          <w:color w:val="000000"/>
          <w:kern w:val="0"/>
          <w:sz w:val="24"/>
        </w:rPr>
        <w:t>备注：工程量按实结算，综合单价不予调整。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六、组成合同的文件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组成本合同的文件包括：</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1.本合同协议书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w:t>
      </w:r>
      <w:r>
        <w:rPr>
          <w:rFonts w:hint="eastAsia" w:ascii="宋体" w:hAnsi="宋体" w:cs="宋体"/>
          <w:color w:val="000000"/>
          <w:kern w:val="0"/>
          <w:sz w:val="24"/>
        </w:rPr>
        <w:t>成交</w:t>
      </w:r>
      <w:r>
        <w:rPr>
          <w:rFonts w:ascii="宋体" w:hAnsi="宋体" w:cs="宋体"/>
          <w:color w:val="000000"/>
          <w:kern w:val="0"/>
          <w:sz w:val="24"/>
        </w:rPr>
        <w:t>通知书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w:t>
      </w:r>
      <w:r>
        <w:rPr>
          <w:rFonts w:hint="eastAsia" w:ascii="宋体" w:hAnsi="宋体" w:cs="宋体"/>
          <w:color w:val="000000"/>
          <w:kern w:val="0"/>
          <w:sz w:val="24"/>
        </w:rPr>
        <w:t>响应</w:t>
      </w:r>
      <w:r>
        <w:rPr>
          <w:rFonts w:ascii="宋体" w:hAnsi="宋体" w:cs="宋体"/>
          <w:color w:val="000000"/>
          <w:kern w:val="0"/>
          <w:sz w:val="24"/>
        </w:rPr>
        <w:t>书及其附件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4.本合同专用条款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5.本合同通用条款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6.标准、规范及有关技术文件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7.图纸</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8.工程量清单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9.工程报价单或预算书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双方有关工程的洽商、变更等书面协议或文件视为本合同的组成部分。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七、本协议书中有关词语含义与本合同第二部分《通用条款》中分别赋予它们的定义相同。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八、承包人向发包人承诺按照合同约定进行施工、竣工并在质量保修期内承担工程质量保修责任。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九、发包人向承包人承诺按照合同约定的期限和方式支付合同价款及其他应当支付的款项。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十、合同生效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合同订立时间：</w:t>
      </w:r>
      <w:r>
        <w:rPr>
          <w:rFonts w:hint="eastAsia" w:ascii="宋体" w:hAnsi="宋体" w:cs="宋体"/>
          <w:color w:val="000000"/>
          <w:kern w:val="0"/>
          <w:sz w:val="24"/>
        </w:rPr>
        <w:t>202</w:t>
      </w:r>
      <w:r>
        <w:rPr>
          <w:rFonts w:hint="eastAsia" w:ascii="宋体" w:hAnsi="宋体" w:cs="宋体"/>
          <w:color w:val="000000"/>
          <w:kern w:val="0"/>
          <w:sz w:val="24"/>
          <w:lang w:val="en-US" w:eastAsia="zh-CN"/>
        </w:rPr>
        <w:t>1</w:t>
      </w:r>
      <w:r>
        <w:rPr>
          <w:rFonts w:ascii="宋体" w:hAnsi="宋体" w:cs="宋体"/>
          <w:color w:val="000000"/>
          <w:kern w:val="0"/>
          <w:sz w:val="24"/>
        </w:rPr>
        <w:t>年</w:t>
      </w:r>
      <w:r>
        <w:rPr>
          <w:rFonts w:hint="eastAsia" w:ascii="宋体" w:hAnsi="宋体" w:cs="宋体"/>
          <w:color w:val="000000"/>
          <w:kern w:val="0"/>
          <w:sz w:val="24"/>
        </w:rPr>
        <w:t xml:space="preserve">   </w:t>
      </w:r>
      <w:r>
        <w:rPr>
          <w:rFonts w:ascii="宋体" w:hAnsi="宋体" w:cs="宋体"/>
          <w:color w:val="000000"/>
          <w:kern w:val="0"/>
          <w:sz w:val="24"/>
        </w:rPr>
        <w:t>月</w:t>
      </w:r>
      <w:r>
        <w:rPr>
          <w:rFonts w:hint="eastAsia" w:ascii="宋体" w:hAnsi="宋体" w:cs="宋体"/>
          <w:color w:val="000000"/>
          <w:kern w:val="0"/>
          <w:sz w:val="24"/>
        </w:rPr>
        <w:t xml:space="preserve">    </w:t>
      </w:r>
      <w:r>
        <w:rPr>
          <w:rFonts w:ascii="宋体" w:hAnsi="宋体" w:cs="宋体"/>
          <w:color w:val="000000"/>
          <w:kern w:val="0"/>
          <w:sz w:val="24"/>
        </w:rPr>
        <w:t>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合同订立地点：</w:t>
      </w:r>
      <w:r>
        <w:rPr>
          <w:rFonts w:hint="eastAsia" w:ascii="宋体" w:hAnsi="宋体" w:cs="宋体"/>
          <w:color w:val="000000"/>
          <w:kern w:val="0"/>
          <w:sz w:val="24"/>
        </w:rPr>
        <w:t>江宁</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本合同双方约定</w:t>
      </w:r>
      <w:r>
        <w:rPr>
          <w:rFonts w:hint="eastAsia" w:ascii="宋体" w:hAnsi="宋体" w:cs="宋体"/>
          <w:color w:val="000000"/>
          <w:kern w:val="0"/>
          <w:sz w:val="24"/>
        </w:rPr>
        <w:t>双方签字盖章</w:t>
      </w:r>
      <w:r>
        <w:rPr>
          <w:rFonts w:ascii="宋体" w:hAnsi="宋体" w:cs="宋体"/>
          <w:color w:val="000000"/>
          <w:kern w:val="0"/>
          <w:sz w:val="24"/>
        </w:rPr>
        <w:t>后生效。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　包　人：（公章）　　　　　　　承　包　人：（公章）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住　　所：　　　　　　　　　　　　住　　所：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法定代表人：　　　　　　　　　　　法定代表人：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委托代理人：　　　　　　　　　　　委托代理人：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电　　话：　　　　　　　　　　　　电　　话：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传　　真：　　　　　　　　　　　　传　　真：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开户银行　：　　　　　　　　　　　开户银行　：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账　　号：　　　　　　　　　　　　账　　号：　　　　</w:t>
      </w:r>
    </w:p>
    <w:p>
      <w:pPr>
        <w:widowControl/>
        <w:shd w:val="clear" w:color="auto" w:fill="FFFFFF"/>
        <w:spacing w:line="330" w:lineRule="atLeast"/>
        <w:ind w:firstLine="465"/>
        <w:jc w:val="left"/>
        <w:rPr>
          <w:rFonts w:hint="eastAsia" w:ascii="宋体" w:hAnsi="宋体" w:cs="宋体"/>
          <w:color w:val="000000"/>
          <w:kern w:val="0"/>
          <w:sz w:val="24"/>
        </w:rPr>
      </w:pPr>
      <w:r>
        <w:rPr>
          <w:rFonts w:ascii="宋体" w:hAnsi="宋体" w:cs="宋体"/>
          <w:color w:val="000000"/>
          <w:kern w:val="0"/>
          <w:sz w:val="24"/>
        </w:rPr>
        <w:t>邮政编码　：　　　　　　　　　　　邮政编码　：</w:t>
      </w:r>
    </w:p>
    <w:p>
      <w:pPr>
        <w:widowControl/>
        <w:shd w:val="clear" w:color="auto" w:fill="FFFFFF"/>
        <w:spacing w:line="330" w:lineRule="atLeast"/>
        <w:rPr>
          <w:rFonts w:hint="eastAsia" w:ascii="宋体" w:hAnsi="宋体" w:cs="宋体"/>
          <w:color w:val="000000"/>
          <w:kern w:val="0"/>
          <w:sz w:val="24"/>
        </w:rPr>
      </w:pP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第二部分　通用条款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一、词语定义及合同文件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1.词语定义</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下列词语除专用条款另有约定外，应具有本条所赋予的定义：</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　通用条款：是根据法律、行政法规规定及建设工程施工的需要订方，通用于建设工程施工的条款。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　专用条款：是发包人与承包人根据法律、行政法规规定，结合具体工程实际，经协商达成一致意见的条款，是对通用条款的具体化、补充或修改。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　发包人：指在协议书中约定，具有工程发包主体资格和支付工程价款能力的当事人以及取得该当事人资格的合法继承人。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1.4　承包人：指在协议书中约定，被发包人接受的具有工程施工承包主体资格的当事人以及取得该当事人资格的合法继承人。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1.5　项目经理：指承包人在专用条款中指定的负责施工管理和合同履行的代表。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　设计单位：指发包人委托的负责本工程设计并取得相应工程设计资质等级证书的单位。</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　监理单位：指发包人委托的负责本工程监理并取得相应工程监理资质等级证书的单位。</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1.8　工程师：指本工程监理单位委派的总监理工程师或发包人指定的履行本合同的代表，其具体身份和职权由发包人承包人在专用条款中约定。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　工程造价管理部门：指国务院有关部门、县级以上人民政府建设行政主管部门或其委托的工程造价管理机构。</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1.10　工程：指发包人承包人在协议书中约定的承包范围内的工程。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1.11　合同价款：指发包人承包人在协议书中约定，发包人用以支付承包人按照合同约定完成承包范围内全部工程并承担质量保修责任的款项。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1.12　追加合同价款：指在合同履行中发生需要增加合同价款的情况，经发包人确认后按计算合同价款的方法增加的合同价款。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1.13　费用：指不包含在合同价款之内的应当由发包人或承包人承担的经济支出。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1.14　工期；指发包人承包人在协议书中约定，按总日历天数（包括法定节假日）计算的承包天数。</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1.15　开工日期：指发包人承包人在协议书中约定，承包人开始施工的绝对或相对的日期。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1.16　竣工日期：指发包人承包人在协议书中约定，承包人完成承包范围内工程的绝对或相对的日期。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1.17　图纸：指由发包人提供或由承包人提供并经发包人批准，满足承包人施工需要的所有图纸（包括配套说明和有关资料）。</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1.18　施工场地：指由发包人提供的用于工程施工的场所以及发包人在图纸中具体指定的供施工使用的任何其他场所。</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1.19　书面形式：指合同书、信件和数据电文（包括电报、电传、传真、电子数据交换和电子邮件）等可以有形地表现所载内容的形式。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1.20　违约责任：指合同一方不履行合同义务或履行合同义务不符合约定所应承担的责任。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1.21　索赔：指在合同履行过程中，对于并非自己的过错，而是应由对方承担责任的情况造成的实际损失，向对方提出经济补偿和（或）工期顺延的要求。</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1.22　不可抗力：指不能预见、不能避免并不能克服的客观情况。</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1.23　小时或天：本合同中规定按小时计算时间的，从事件有效开始时计算（不扣除休息时间）；规定按天计算时间的，开始当天不计入，从次日开始计算。时限的最后一天是休息日或者其他法定节假日的，以节假日次日为时限的最后一天，但竣工日期除外。时限的最后一天的截止时间为当日24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2.合同文件及解释顺序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2.1　合同文件应能相互解释，互为说明。除专用条款另有约定外，组成本合同的文件及优先解释顺序如下：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（1）本合同协议书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w:t>
      </w:r>
      <w:r>
        <w:rPr>
          <w:rFonts w:hint="eastAsia" w:ascii="宋体" w:hAnsi="宋体" w:cs="宋体"/>
          <w:color w:val="000000"/>
          <w:kern w:val="0"/>
          <w:sz w:val="24"/>
        </w:rPr>
        <w:t>成交</w:t>
      </w:r>
      <w:r>
        <w:rPr>
          <w:rFonts w:ascii="宋体" w:hAnsi="宋体" w:cs="宋体"/>
          <w:color w:val="000000"/>
          <w:kern w:val="0"/>
          <w:sz w:val="24"/>
        </w:rPr>
        <w:t>通知书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w:t>
      </w:r>
      <w:r>
        <w:rPr>
          <w:rFonts w:hint="eastAsia" w:ascii="宋体" w:hAnsi="宋体" w:cs="宋体"/>
          <w:color w:val="000000"/>
          <w:kern w:val="0"/>
          <w:sz w:val="24"/>
        </w:rPr>
        <w:t>响应</w:t>
      </w:r>
      <w:r>
        <w:rPr>
          <w:rFonts w:ascii="宋体" w:hAnsi="宋体" w:cs="宋体"/>
          <w:color w:val="000000"/>
          <w:kern w:val="0"/>
          <w:sz w:val="24"/>
        </w:rPr>
        <w:t>书及其附件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（4）本合同专用条款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（5）本合同通用条款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（6）标准、规范及有关技术文件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（7）图纸</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（8）工程量清单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（9）工程报价单或预算书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合同履行中，发包人承包人有关工程的洽商、变更等书面协议或文件视为本合同的组成部分。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2.2　当合同文件内容含糊不清或不相一致时，在不影响工程正常进行的情况下，由发包人承包人协商解决。双方也可以提请负责监理的工程师作出解释。双方协商不成或不同意负责监理的工程师的解释时，按本通用条款条37条关于争议的约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3.语言文字和适用法律、标准及规范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　语言文字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本合同文件使用汉语语言文字书写、解释和说明。如专用条款约定使用两种以上（含两种）语言文字时，汉语应为解释和说明本合同的标准语言文字。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在少数民族地区，双方可以约定使用少数民族语言文字书写和解释、说明本合同。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　适用法律和法规</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本合同文件适用国家的法律和行政法规。需要明示的法律、行政法规，由双方在专用条款中约定。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3.3适用标准、规范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双方在专用条款内约定适用国家标准、规范的名称；没有国家标准、规范但有行业标准、规范的，约定适用行业标准、规范的名称；没有国家和行业标准、规范的，约定适用工程所在地地方标准、规范的名称。发包人应按专用条款约定的时间向承包人提供一式两份约定的标准、规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国内没有相应标准、规范的，由发包人按专用条款约定的时间向承包人提出施工技术要求，承包人按约定的时间和要求提出施工工艺，经发包人认可后执行。发包人要求使用国外标准、规范的，应负责提供中文译本。</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本条所发生的购买、翻译标准、规范或制定施工工艺的费用，由发包人承担。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4.图纸</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　发包人应按专用条款约定的日期和套数，向承包人提供图纸。承包人需要增加图纸套数的，发包人应代为复制，复制费用由承包人承担。发包人对工程有保密要求的，应在专用条款中提出保密要求，保密措施费用由发包人承担，承包人在约定保密期限内履行保密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4.2　承包人未经发包人同意，不得将本工程图纸转给第三人。工程质量保修期满后，除承包人存档需要的图纸外，应将全部图纸退还给发包人。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4.3　承包人应在施工现场保留一套完整图纸，供工程师及有关人员进行工程检查时使用。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二、双方一般权利和义务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5.工程师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5.1　实行工程监理的，发包人应在实施监理前将委托的监理单位名称、监理内容及监理权限以书面形式通知承包人。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5.2　监理单位委派的总监理工程师在本合同中称工程师，其姓名、职务、职权由发包人承包人在专用条款内写明。工程师按合同约定行使职权，发包人在专用条款内要求工程师在行使某些职权前需要征得发包人批准的，工程师应征得发包人批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5.3　发包人派驻施工场地履行合同的代表在本合同中也称工程师，其姓名、职务、职权由发包人在专用条款内写明，但职权不得与监理单位委派的总监理工程师职权相互交叉。双方职权发生交叉或不明确时，由发包人予以明确，并以书面形式通知承包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5.4　合同履行中，发生影响发包人承包人双方权利或义务的事件时，负责监理的工程师应依据合同在其职权范围内客观公正地进行处理。一方对工程师的处理有异议时，按本通用条款条37条关于争议的约定处理。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5.5　除合同内有明确约定或经发包人同意外，负责监理的工程师无权解除本合同约定的承包人的任何权利与义务。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5.6　不实行工程监理的，本合同中工程师专指发包人派驻施工场地履行合同的代表，其具体职权由发包人在专用条款内写明。</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6.工程师的委派和指令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6.1　工程师可委派工程师代表，行使合同约定的自己的职权，并可在认为必要时撤回委派。委派和撤回均应提前7天以书面形式通知承包人，负责监理的工程师还应将委派和撤回通知发包人。委派书和撤回通知作为本合同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师代表在工程师授权范围内向承包人发出的任何书面形式的函件，与工程师发出的函件具有同等效力。承包人对工程师代表向其发出的任何书面形式的函件有疑问时，可将此函件提交工程师，工程师应进行确认。工程师代表发出指令有失误时，工程师应进行纠正。</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除工程师或工程师代表外，发包人派驻工地的其他人员均无权向承包人发出任何指令。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6.2　工程师的指令、通知由其本人签字后，以书面形式交给项目经理，项目经理在回执上签署姓名和收到时间后生效。确有必要时，工程师可发出口头指令，并在48小时内给予书面确认，承包人对工程师的指令应予执行。工程师不能及时给予书面确认的，承包人应于工程师发出口头指令后7天内提出书面确认要求。工程师在承包人提出确认要求后48小时内不予答复的，视为口头指令已被确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承包人认为工程师指令不合理，应在收到指令后24小时内向工程师提出修改指令的书面报告，工程师在收到承包人报告后24小时内作出修改指令或继续执行原指令的决定，并以书面形式通知承包人。紧急情况下，工程师要求承包人立即执行的指令或承包人虽有异议，但工程师决定仍继续执行的指令，承包人应予执行。因指令错误发生的追加合同价款和给承包人造成的损失由发包人承担，延误的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本款规定同样适用于由工程师代表发出的指令、通知。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6.3　工程师应按合同约定，及时向承包人提供所需指令、批准并履行约定的其他义务。由于工程师未能按合同约定履行义务造成工期延误，发包人应承担延误造成的追加合同价款，并赔偿承包人有关损失，顺延延误的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6.4　如需更换工程师，发包人应至少提前7天以书面形式通知承包人，后任继续行使合同文件约定的前任的职权，履行前任的义务。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7.项目经理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7.1　项目经理的姓名、职务在专用条款内写明。</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7.2　承包人依据合同发出的通知，以书面形式由项目经理签字后送交工程师，工程师在回执上签署姓名和收到时间后生效。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7.3　项目经理按发包人认可的施工组织设计（施工方案）和工程师依据合同发出的指令组织施工。在情况紧急且无法与工程师联系时，项目经理应当采取保证人员生命和工程、财产安全的紧急措施，并在采取措施后48小时内向工程师送交报告。责任在发包人或第三人，由发包人承担由此发生的追加合同价款，相应顺延工期；责任在承包人，由承包人承担费用，不顺延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7.4　承包人如需更换项目经理，应至少提前7天以书面形式通知发包人，并征得发包人同意。后任继续行使合同文件约定的前任的职权，履行前任的义务。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7.5　发包人可以与承包人协商，建议更换其认为不称职的项目经理。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8.发包人工作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8.1　发包人按专用条款约定的内容和时间完成以下工作：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（1）办理土地征用、拆迁补偿、平整施工场地等工作，使施工场地具备施工条件，在开工后继续负责解决以上事项遗留问题；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（2）将施工所需水、电、电讯线路从施工场地外部接至专用条款约定地点，保证施工期间的需要；</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（3）开通施工场地与城乡公共道路的通道，以及专用条款约定的施工场地内的主要道路，满足施工运输的需要，保证施工期间的畅通；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（4）向承包人提供施工场地的工程地质和地下管线资料，对资料的真实准确性负责；</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（5）办理施工许可证及其他施工所需证件、批件和临时用地、停水、停电、中断道路交通、爆破作业等的申请批准手续（证明承包人自身资质的证件除外）；</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（6）确定水准点与座标控制点，以书面形式交给承包人，进行现场交验；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（7）组织承包人和设计单位进行图纸会审和设计交底；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（8）协调处理施工场地周围地下管线和邻近建筑物、构筑物（包括文物保护建筑）、古树名木的保护工作，承担有关费用；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（9）发包人应做的其他工作，双方在专用条款内约定。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8.2　发包人可以将8.1款部分工作委托承包人办理，双方在专用条款内约定，其费用由发包人承担。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8.3　发包人未能履行8.1款各项义务，导致工期延误或给承包人造成损失的，发包人赔偿承包人有关损失，顺延延误的工期。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9.承包人工作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9.1　承包人按专用条款约定的内容和时间完成以下工作：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（1）根据发包人委托，在其设计资质等级和业务允许的范围内，完成施工图设计或与工程配套的设计，经工程师确认后使用，发包人承担由此发生的费用；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（2）向工程师提供年、季、月度工程进度计划及相应进度统计报表；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（3）根据工程需要，提供和维修非夜间施工使用的照明、围栏设施，并负责安全保卫；</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（4）按专用条款约定的数量和要求，向发包人提供施工场地办公和生活的房屋及设施，发包人承担由此发生的费用；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（5）遵守政府有关主管部门对施工场地交通、施工噪音以及环境保护和安全生产等的管理规定，按规定办理有关手续，并以书面形式通知发包人，发包人承担由此发生的费用，因承包人责任造成的罚款除外；</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已竣工工程未交付发包人之前，承包人按专用条款约定负责已完工程的保护工作，保护期间发生损坏，承包人自费予以修复；发包人要求承包人采取特殊措施保护的工程部位和相应的追加合同价款，双方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（7）按专用条款约定做好施工场地地下管线和邻近建筑物、构筑物（包括文物保护建筑）、古树名木的保护工作；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（8）保证施工场地清洁符合环境卫生管理的有关规定，交工前清理现场达到专用条款约定的要求，承担因自身原因违反有关规定造成的损失和罚款；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（9）承包人应做的其他工作，双方在专用条款内约定。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9.2　承包人未能履行9.1款各项义务，造成发包人损失的，承包人赔偿发包人有关损失。</w:t>
      </w:r>
    </w:p>
    <w:p>
      <w:pPr>
        <w:widowControl/>
        <w:shd w:val="clear" w:color="auto" w:fill="FFFFFF"/>
        <w:spacing w:line="330" w:lineRule="atLeast"/>
        <w:jc w:val="left"/>
        <w:rPr>
          <w:rFonts w:hint="eastAsia"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三、施工组织设计和工期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10.进度计划</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10.1　承包人应按专用条款约定的日期，将施工组织设计和工程进度计划提交工程师，工程师按专用条款约定的时间予以确认或提出修改意见，逾期不确认也不提出书面意见的，视为同意。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10.2　群体工程中单位工程分期进行施工的，承包人应按照发包人提供图纸及有关资料的时间，按单位工程编制进度计划，其具体内容双方在专用条款中约定。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10.3　承包人必须按工程师确认的进度计划组织施工，接受工程师对进度的检查、监督。工程实际进度与经确认的进度计划不符时，承包人应按工程师的要求提出改进措施，经工程师确认后执行。因承包人的原因导致实际进度与进度计划不符，承包人无权就改进措施提出追加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11.开工及延期开工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11.1　承包人应当按照协议书约定的开工日期开工。承包人不能按时开工，应当不迟于协议书约定的开工日期前7天，以书面形式向工程师提出延期开工的理由和要求。工程师应当在接到延期开工申请后的48小时内以书面形式答复承包人。工程师在接到延期开工申请后48小时内不答复，视为同意承包人要求，工期相应顺延。工程师不同意延期要求或承包人未在规定时间内提出延期开工要求，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11.2　因发包人原因不能按照协议书约定的开工日期开工，工程师应以书面形式通知承包人，推迟开工日期。发包人赔偿承包人因延期开工造成的损失，并相应顺延工期。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12.暂停施工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师认为确有必要暂停施工时，应当以书面形式要求承包人暂停施工，并在提出要求后48小时内提出书面处理意见。承包人应当按工程师要求停止施工，并妥善保护已完工程。承包人实施工程师作出的处理意见后，可以书面形式提出复工要求，工程师应当在48小时内给予答复。工程师未能在规定时间内提出处理意见，或收到承包人复工要求后48小时内未予答复，承包人可自行复工。因发包人原因造成停工的，由发包人承担所发生的追加合同价款，赔偿承包人由此造成的损失，相应顺延工期；因承包人原因造成停工的，由承包人承担发生的费用，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13.工期延误</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13.1　因以下原因造成工期延误，经工程师确认，工期相应顺延：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（1）发包人未能按专用条款的约定提供图纸及开工条件；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（2）发包人未能按约定日期支付工程预付款、进度款，致使施工不能正常进行；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（3）工程师未按合同约定提供所需指令、批准等，致使施工不能正常地行；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（4）设计变更和工程量增加；</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（5）一周内非承包人原因停水、停电、停气造成停工累计超过8小时；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（6）不可抗力；</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（7）专用条款中约定或工程师同意工期顺延的其他情况。</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13.2　承包人在13.1款情况发生后14天内，就延误的工期以书面形式向工程师提出报告。工程师在收到报告后14天内予以确认，逾期不予确认也不提出修改意见，视为同意顺延工期。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14.工程竣工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14.1　承包人必须按照协议书约定的竣工日期或工程师同意顺延的工期竣工。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14.2　因承包人原因不能按照协议书约定的竣工日期或工程师同意顺延的工期竣工的，承包人承担违约责任。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14.3　施工中发包人如需提前竣工，双方协商一致后应签订提前竣工协议，作为合同文件组成部分。提前竣工协议应包括承包人为保证工程质量和安全采取的措施、发包人为提前竣工提供的条件以及提前竣工所需的追加合同价款等内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四、质量与检验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15.工程质量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15.1　工程质量应当达到协议书约定的质量标准，质量标准的评定以国家或行业的质量检验评定标准为依据。因承包人原因工程质量达不到约定的质量标准，承包人承担违约责任。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15.2　双方对工程质量有争议，由双方同意的工程质量检测机构鉴定，所需费用及因此造成的损失，由责任方承担。双方均有责任，由双方根据其责任分别承担。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16.检查和返工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16.1　承包人应认真按照标准、规范和设计图纸要求以及工程师依据合同发出的指令施工，随时接受工程师的检查检验，为检查检验提供便利条件。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16.2　工程质量达不到约定标准的部分，工程师一经发现，应要求承包人拆除和重新施工，承包人应按工程师的要求拆除和重新施工，直到符合约定标准。因承包人原因达不到约定标准，由承包人承担拆除和重新施工的费用，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16.3　工程师的检查检验不应影响施工正常进行。如影响施工正常进行，检查检验不合格时，影响正常施工的费用由承包人承担。除此之外影响正常施工的追加合同价款由发包人承担，相应顺延工期。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16.4　因工程师指令失误或其他非承包人原因发生的追加合同价款，由发包人承担。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17.隐蔽工程和中间验收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17.1　工程具备隐蔽条件或达到专用条款约定的中间验收部位，承包人进行自检，并在隐蔽或中间验收前48小时以书面形式通知工程师验收。通知包括隐蔽和中间验收的内容、验收时间和地点。承包人准备验收记录，验收合格，工程师在验收记录上签字后，承包人可进行隐蔽和继续施工。验收不合格，承包人在工程师限定的时间内修改后重新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17.2　工程师不能按时进行验收，应在验收前24小时以书面形式向承包人提出延期要求，延期不能超过48小时。工程师未能按以上时间提出延期要求，不进行验收，承包人可自行组织验收，工程师应承认验收记录。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17.3　经工程师验收，工程质量符合标准、规范和设计图纸等要求，验收24小时后，工程师不在验收记录上签字，视为工程师已经认可验收记录，承包人可进行隐蔽或继续施工。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18.重新检验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无论工程师是否进行验收，当其要求对已经隐蔽的工程重新检验时，承包人应按要求进行剥离或开孔，并在检验后重新覆盖或修复。检验合格，发包人承担由此发生的全部追加合同价款，赔偿承包人损失，并相应顺延工期。检验不合格，承包人承担发生的全部费用，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19.工程试车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19.1　双方约定需要试车的，试车内容应与承包人承包的安装范围相一致。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19.2　设备安装工程具备单机无负荷试车条件，承包人组织试车，并在试车前48小时以书面形式通知工程师。通知包括试车内容、时间、地点。承包人准备试车记录，发包人根据承包人要求为试车提供必要条件。试车合格，工程师在试车记录上签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19.3　工程师不能按时参加试车，须在开始试车前24小时以书面形式向承包人提出延期要求，延期不能超过48小时。工程师未能按以上时间提出延期要求，不参加试车，应承认试车记录。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19.4　设备安装工程具备无负荷联动试车条件，发包人组织试车，并在试车前48小时以书面形式通知承包人。通知包括试车内容、时间、地点和对承包人的要求，承包人按要求做好准备工作。试车合格，双方在试车记录上签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19.5　双方责任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（1）由于设计原因试车达不到验收要求，发包人应要求设计单位修改设计，承包人按修改后的设计重新安装。发包人承担修改设计、拆除及重新安装的全部费用和追加合同价款，工期相应顺延。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由于设备制造原因试车达不到验收要求，由该设备采购一方负责重新购置或修理，承包人负责拆除和重新安装。设备由承包人采购的，由承包人承担修理或重新购置、拆除及重新安装的费用，工期不予顺延；设备由发包人采购的，发包人承担上述各项追加合同价款，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（3）由于承包人施工原因试车达不到验收要求，承包人按工程师要求重新安装和试车，并承担重新安装和试车的费用，工期不予顺延。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（4）试车费用除已包括在合同价款之内或专用条款另有约定外，均由发包人承担。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（5）工程师在试车合格后不在试车记录上签字，试车结束24小时后，视为工程师已经认可试车记录，承包人可继续施工或办理竣工手续。</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19.6　投料试车应在工程竣工验收后由发包人负责，如发包人要求在工程竣工验收前进行或需要承包人配合时，应征得承包人同意，另行签订补充协议。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五、安全施工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20.安全施工与检查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20.1　承包人应遵守工程建设安全生产有关管理规定，严格按安全标准组织施工，并随时接受行业安全检查人员依法实施的监督检查，采取必要的安全防护措施，消除事故隐患。由于承包人安全措施不力造成事故的责任和因此发生的费用，由承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20.2　发包人应对其在施工场地的工作人员进行安全教育，并对他们的安全负责。发包人不得要求承包人违反安全管理的规定进行施工。因发包人原因导致的安全事故，由发包人承担相应责任及发生的费用。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21.安全防护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21.1　承包人在动力设备、输电线路、地下管道、密封防震车间、易燃易爆地段以及临街交通要道附近施工时，施工开始前应向工程师提出安全防护措施，经工程师认可后实施，防护措施费用由发包人承担。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21.2　实施爆破作业，在放射、毒害性环境中施工（含储存、运输、使用）及使用毒害性、腐蚀性物品施工时，承包人应在施工前14天以书面形式通知工程师，并提出相应的安全防护措施，经工程师认可后实施，由发包人承担安全防护措施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22.事故处理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22.1　发生重大伤亡及其他安全事故，承包人应按有关规定立即上报有关部门并通知工程师，同时按政府有关部门要求处理，由事故责任方承担发生的费用。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22.2　发包人承包人对事故责任有争议时，应按政府有关部门的认定处理。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六、合同价款与支付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23.合同价款及调整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23.1　</w:t>
      </w:r>
      <w:r>
        <w:rPr>
          <w:rFonts w:hint="eastAsia" w:ascii="宋体" w:hAnsi="宋体" w:cs="宋体"/>
          <w:color w:val="000000"/>
          <w:kern w:val="0"/>
          <w:sz w:val="24"/>
        </w:rPr>
        <w:t>询价</w:t>
      </w:r>
      <w:r>
        <w:rPr>
          <w:rFonts w:ascii="宋体" w:hAnsi="宋体" w:cs="宋体"/>
          <w:color w:val="000000"/>
          <w:kern w:val="0"/>
          <w:sz w:val="24"/>
        </w:rPr>
        <w:t>工程的合同价款由发包人承包人依据</w:t>
      </w:r>
      <w:r>
        <w:rPr>
          <w:rFonts w:hint="eastAsia" w:ascii="宋体" w:hAnsi="宋体" w:cs="宋体"/>
          <w:color w:val="000000"/>
          <w:kern w:val="0"/>
          <w:sz w:val="24"/>
        </w:rPr>
        <w:t>成交</w:t>
      </w:r>
      <w:r>
        <w:rPr>
          <w:rFonts w:ascii="宋体" w:hAnsi="宋体" w:cs="宋体"/>
          <w:color w:val="000000"/>
          <w:kern w:val="0"/>
          <w:sz w:val="24"/>
        </w:rPr>
        <w:t>通知书中的</w:t>
      </w:r>
      <w:r>
        <w:rPr>
          <w:rFonts w:hint="eastAsia" w:ascii="宋体" w:hAnsi="宋体" w:cs="宋体"/>
          <w:color w:val="000000"/>
          <w:kern w:val="0"/>
          <w:sz w:val="24"/>
        </w:rPr>
        <w:t>成交</w:t>
      </w:r>
      <w:r>
        <w:rPr>
          <w:rFonts w:ascii="宋体" w:hAnsi="宋体" w:cs="宋体"/>
          <w:color w:val="000000"/>
          <w:kern w:val="0"/>
          <w:sz w:val="24"/>
        </w:rPr>
        <w:t>价格在协议书内约定。非</w:t>
      </w:r>
      <w:r>
        <w:rPr>
          <w:rFonts w:hint="eastAsia" w:ascii="宋体" w:hAnsi="宋体" w:cs="宋体"/>
          <w:color w:val="000000"/>
          <w:kern w:val="0"/>
          <w:sz w:val="24"/>
        </w:rPr>
        <w:t>询价</w:t>
      </w:r>
      <w:r>
        <w:rPr>
          <w:rFonts w:ascii="宋体" w:hAnsi="宋体" w:cs="宋体"/>
          <w:color w:val="000000"/>
          <w:kern w:val="0"/>
          <w:sz w:val="24"/>
        </w:rPr>
        <w:t>工程的合同价款由发包人承包人依据工程预算书在协议书内约定。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23.2　合同价款在协议书内约定后，任何一方不得擅自改变。下列三种确定合同价款的方式，双方可在专用条款内约定采用其中一种：</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（1）固定价格合同。双方在专用条款内约定合同价款包含的风险范围和风险费用的计算方法，在约定的风险范围内合同价款不再调整。风险范围以外的合同价款调整方法，应当在专用条款内约定。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（2）可调价格合同。合同价款可根据双方的约定而调整，双方在专用条款内约定合同价款调整方法。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（3）成本加酬金合同。合同价款包括成本和酬金两部分，双方在专用条款内约定成本构成和酬金的计算方法。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23.3　可调价格合同中合同价款的调整因素包括：</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（1）法律、行政法规和国家有关政策变化影响合同价款；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（2）工程造价管理部门公布的价格调整；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（3）一周内非承包人原因停水、停电、停气造成停工累计超过8小时；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（4）双方约定的其他因素。</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23.4　承包人应当在23.3款情况发生后14天内，将调整原因、金额以书面形式通知工程师，工程师确认调整金额后作为追加合同价款，与工程款同期支付。工程师收到承包人通知后14天内不予确认也不提出修改意见，视为已经同意该项调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24.工程预付款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实行工程预付款的，双方应当在专用条款内约定发包人向承包人预付工程款的时间和数额，开工后按约定的时间和比例逐次扣回。预付时间应不迟于约定的开工日期前7天。发包人不按约定预付，承包人在约定预付时间7天后向发包人发出要求预付的通知，发包人收到通知后仍不能按要求预付，承包人可在发出通知后7天停止施工，发包人应从约定应付之日起向承包人支付应付款的贷款利息，并承担违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25.工程量的确认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25.1　承包人应按专用条款约定的时间，向工程师提交已完工程量的报告。工程师接到报告后7天内按设计图纸核实已完工程量（以下称计量），并在计量前24小时通知承包人，承包人为计量提供便利条件并派人参加。承包人收到通知后不参加计量，计量结果有效，作为工程价款支付的依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25.2　工程师收到承包人报告后7天内未进行计量，从第8天起，承包人报告中开列的工程量即视为被确认，作为工程价款支付的依据。工程师不按约定时间通知承包人，致使承包人未能参加计量，计量结果无效。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25.3　对承包人超出设计图纸范围和因承包人原因造成返工的工程量，工程师不予计量。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26.工程款（进度款）支付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26.1　在确认计量结果后14天内，发包人应向承包人支付工程款（进度款）。按约定时间发包人应扣回的预付款，与工程款（进度款）同期结算。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26.2　本通用条款第23条确定调整的合同价款，第31条工程变更调整的合同价款及其他条款中约定的追加合同价款，应与工程款（进度款）同期调整支付。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26.3　发包人超过约定的支付时间不支付工程款（进度款），承包人可向发包人发出要求付款的通知，发包人收到承包人通知后仍不能按要求付款，可与承包人协商签订延期付款协议，经承包人同意后可延期支付。协议应明确延期支付的时间和从计量结果确认后第15天起应付款的贷款利息。</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26.4　发包人不按合同约定支付工程款（进度款），双方又未达成延期付款协议，导致施工无法进行，承包人可停止施工，由发包人承担违约责任。</w:t>
      </w:r>
    </w:p>
    <w:p>
      <w:pPr>
        <w:widowControl/>
        <w:shd w:val="clear" w:color="auto" w:fill="FFFFFF"/>
        <w:spacing w:line="330" w:lineRule="atLeast"/>
        <w:jc w:val="left"/>
        <w:rPr>
          <w:rFonts w:hint="eastAsia"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七、材料设备供应</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27.发包人供应材料设备</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27.1　实行发包人供应材料设备的，双方应当约定发包人供应材料设备的一览表，作为本合同附件（附件2）。一览表包括发包人供应材料设备的品种、规格、型号、数量、单价、质量等级、提供时间和地点。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27.2　发包人按一览表约定的内容提供材料设备，并向承包人提供产品合格证明，对其质量负责。发包人在所供材料设备到货前24小时，以书面形式通知承包人，由承包人派人与发包人共同清点。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27.3　发包人供应的材料设备，承包人派人参加清点后由承包人妥善保管，发包人支付相应保管费用。因承包人原因发生丢失损坏，由承包人负责赔偿。</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发包人未通知承包人清点，承包人不负责材料设备的保管，丢失损坏由发包人负责。</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27.4　发包人供应的材料设备与一览表不符时，发包人承担有关责任。发包人应承担责任的具体内容，双方根据下列情况在专用条款内约定：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（1）材料设备单价与一览表不符，由发包人承担所有价差；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（2）材料设备的品种、规格、型号、质量等级与一览表不符，承包人可拒绝接收保管，由发包人运出施工场地并重新采购；</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（3）发包人供应的材料规格、型号与一览表不符，经发包人同意，承包人可代为调剂串换，由发包人承担相应费用；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（4）到货地点与一览表不符，由发包人负责运至一览表指定地点；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（5）供应数量少于一览表约定的数量时，由发包人补齐，多于一览表约定数量时，发包人负责将多出部分运出施工场地；</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（6）到货时间早于一览表约定时间，由发包人承担因此发生的保管费用；到货时间迟于一览表约定的供应时间，发包人赔偿由此造成的承包人损失，造成工期延误的，相应顺延工期；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27.5　发包人供应的材料设备使用前，由承包人负责检验或试验，不合格的不得使用，检验或试验费用由发包人承担。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27.6　发包人供应材料设备的结算方法，双方在专用条款内约定。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28.承包人采购材料设备</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28.1　承包人负责采购材料设备的，应按照专用条款约定及设计和有关标准要求采购，并提供产品合格证明，对材料设备质量负责。承包人在材料设备到货前24小时通知工程师清点。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28.2　承包人采购的材料设备与设计或标准要求不符时，承包人应按工程师要求的时间运出施工场地，重新采购符合要求的产品，承担由此发生的费用，由此延误的工期不予顺延。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28.3　承包人采购的材料设备在使用前，承包人应按工程师的要求进行检验或试验，不合格的不得使用，检验或试验费用由承包人承担。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28.4　工程师发现承包人采购并使用不符合设计和标准要求的材料设备时，应要求承包人负责修复、拆除或重新采购，由承包人承担发生的费用，由此延误的工期不予顺延。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28.5　承包人需要使用代用材料时，应经工程师认可后才能使用，由此增减的合同价款双方以书面形式议定。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28.6　由承包人采购的材料设备，发包人不得指定生产厂或供应商。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八、工程变更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29.工程设计变更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29.1　施工中发包人需对原工程设计进行变更，应提前14天以书面形式向承包人发出变更通知。变更超过原设计标准或批准的建设规模时，发包人应报规划管理部门和其他有关部门重新审查批准，并由原设计单位提供变更的相应图纸和说明。承包人按照工程师发出的变更通知及有关要求，进行下列需要的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（1）更改工程有关部分的标高、基线、位置和尺寸；</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（2）增减合同中约定的工程量；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（3）改变有关工程的施工时间和顺序；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（4）其他有关工程变更需要的附加工作。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因变更导致合同价款的增减及造成的承包人损失，由发包人承担，延误的工期相应顺延。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29.2　施工中承包人不得对原工程设计进行变更。因承包人擅自变更设计发生的费用和由此导致发包人的直接损失，由承包人承担，延误的工期不予顺延。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29.3　承包人在施工中提出的合理化建议涉及到对设计图纸或施工组织设计的更改及对材料、设备的换用，须经工程师同意，未经同意擅自更改或换用时，承包人承担由此发生的费用，并赔偿发包人的有关损失，延误的工期不予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工程师同意采用承包人合理化建议，所发生的费用和获得的收益，发包人承包人另行约定分担或分享。</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30.其他变更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合同履行中发包人要求变更工程质量标准及发生其他实质性变更，由双方协商解决。</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31.确定变更价款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31.1　承包人在工程变更确定后14天内，提出变更工程价款的报告，经工程师确认后调整合同价款。变更合同价款按下列方法进行：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（1）合同中已有适用于变更工程的价格，按合同已有的价格变更合同价款；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（2）合同中只有类似于变更工程的价格，可以参照类似价格变更合同价款；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（3）合同中没有适用或类似于变更工程的价格，由承包人提出适当的变更价格，经工程师确认后执行。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31.2　承包人在双方确定变更后14天内不向工程师提出变更工程价款报告时，视为该项变更不涉及合同价款的变更。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31.3　工程师应在收到变更工程价款报告之日起14天内予以确认，工程师无正当理由不确认时，自变更工程价款报告送达之日起14天后视为变更工程价款报告已被确认。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31.4　工程师不同意承包人提出的变更价款，按本通用条款第37条关于争议的约定处理。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31.5　工程师确认增加的工程变更价款作为追加合同价款，与工程款同期支付。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31.6　因承包人自身原因导致的工程变更，承包人无权要求追加合同价款。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九、竣工验收与结算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32.竣工验收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32.1　工程具备竣工验收条件，承包人按国家工程竣工验收有关规定，向发包人提供完整竣工资料及竣工验收报告。双方约定由承包人提供竣工图的，应当在专用条款内约定提供的日期和份数。</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32.2　发包人收到竣工验收报告后28天内组织有关单位验收，并在验收后14天内给予认可或提出修改意见。承包人按要求修改，并承担由自身原因造成修改的费用。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32.3　发包人收到承包人送交的竣工验收报告后28天内不组织验收，或验收后14天内不提出修改意见，视为竣工验收报告已被认可。</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32.4　工程竣工验收通过，承包人送交竣工验收报告的日期为实际竣工日期。工程按发包人要求修改后通过竣工验收的，实际竣工日期为承包人修改后提请发包人验收的日期。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32.5　发包人收到承包人竣工验收报告后28天内不组织验收，从第29天起承担工程保管及一切意外责任。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32.6　中间交工工程的范围和竣工时间，双方在专用条款内约定，其验收程序按本通用条款32.1款至32.4款办理。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32.7　因特殊原因，发包人要求部分单位工程或工程部位甩项竣工的，双方另行签订甩项竣工协议，明确双方责任和工程价款的支付方法。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32.8　工程未经竣工验收或竣工验收未通过的，发包人不得使用。发包人强行使用时，由此发生的质量问题及其他问题，由发包人承担责任。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33.竣工结算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33.1　工程竣工验收报告经发包人认可后28天内，承包人向发包人递交竣工结算报告及完整的结算资料，双方按照协议书约定的合同价款及专用条款约定的合同价款调整内容，进行工程竣工结算。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33.2　发包人收到承包人递交的竣工结算报告及结算资料后28天内进行核实，给予确认或者提出修改意见。发包人确认竣工结算报告后通知经办银行向承包人支付工程竣工结算价款。承包人收到竣工结算价款后14天内将竣工工程交付发包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33.3　发包人收到竣工结算报告及结算资料后28天内无正当理由不支付工程竣工结算价款，从第29天起按承包人同期向银行贷款利率支付拖欠工程价款的利息，并承担违约责任。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33.4　发包人收到竣工结算报告及结算资料后28天内不支付工程竣工结算价款，承包人可以催告发包人支付结算价款。发包人在收到竣工结算报告及结算资料后56天内仍不支付的，承包人可以与发包人协议将该工程折价，也可以由承包人申请人民法院将该工程依法拍卖，承包人就该工程折价或者拍卖的价款优先受偿。</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33.5　工程竣工验收报告经发包人认可后28天内，承包人未能向发包人递交竣工结算报告及完整的结算资料，造成工程竣工结算不能正常进行或工程竣工结算价款不能及时支付，发包人要求交付工程的，承包人应当交付；发包人不要求交付工程的，承包人承担保管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33.6　发包人承包人对工程竣工结算价款发生争议时，按本通用条款第37条关于争议的约定处理。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34.质量保修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34.1　承包人应按法律、行政法规或国家关于工程质量保修的有关规定，对交付发包人使用的工程在质量保修期内承担质量保修责任。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34.2　质量保修工作的实施。承包人应在工程竣工验收之前，与发包人签订质量保修书，作为本合同附件（附件3）。</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34.3　质量保修书的主要内容包括：</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（1）质量保修项目内容及范围；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（2）质量保修期；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（3）质量保修责任；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（4）质量保修金的支付方法。</w:t>
      </w:r>
    </w:p>
    <w:p>
      <w:pPr>
        <w:widowControl/>
        <w:shd w:val="clear" w:color="auto" w:fill="FFFFFF"/>
        <w:spacing w:line="330" w:lineRule="atLeast"/>
        <w:jc w:val="left"/>
        <w:rPr>
          <w:rFonts w:hint="eastAsia"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十、违约、索赔和争议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35.违约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35.1　发包人违约。当发生下列情况时：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（1）本通用条款第24条提到的发包人不按时支付工程预付款；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（2）本通用条款第26.4款提到的发包人不按合同约定支付工程款，导致施工无法进行；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（3）本通用条款第33.3款提到的发包人无正当理由不支付工程竣工结算价款；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（4）发包人不履行合同义务或不按合同约定履行义务的其他情况。</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发包人承担违约责任，赔偿因其违约给承包人造成的经济损失，顺延延误的工期。双方在专用条款内约定发包人赔偿承包人损失的计算方法或者发包人应当支付违约金的数额或计算方法。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35.2　承包人违约。当发生下列情况时：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（1）本通用条款第14.2款提到的因承包人原因不能按照协议书约定的竣工日期或工程师同意顺延的工期竣工；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（2）本通用条款第15.1款提到的因承包人原因工程质量达不到协议书约定的质量标准；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（3）承包人不履行合同义务或不按合同约定履行义务的其他情况。</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承包人承担违约责任，赔偿因其违约给发包人造成的损失。双方在专用条款内约定承包人赔偿发包人损失的计算方法或者承包人应当支付违约金的数额或计算方法。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35.3　一方违约后，另一方要求违约方继续履行合同时，违约方承担上述违约责任后仍应继续履行合同。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36.索赔</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36.1　当一方向另一方提出索赔时，要有正当索赔理由，且有索赔事件发生时的有效证据。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36.2　发包人未能按合同约定履行自己的各项义务或发生错误以及应由发包人承担责任的其他情况，造成工期延误和（或）承包人不能及时得到合同价款及承包人的其他经济损失，承包人可按下列程序以书面形式向发包人索赔：</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（1）索赔事件发生后28天内，向工程师发出索赔意向通知；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（2）发出索赔意向通知后28天内，向工程师提出延长工期和（或）补偿经济损失的索赔报告及有关资料；</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（3）工程师在收到承包人送交的索赔报告和有关资料后，于28天内给予答复，或要求承包人进一步补充索赔理由和证据；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（4）工程师在收到承包人送交的索赔报告和有关资料后28天内未予答复或未对承包人作进一步要求，视为该项索赔已经认可；</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（5）当该索赔事件持续进行时，承包人应当阶段性向工程师发出索赔意向，在索赔事件终了后28天内，向工程师送交索赔的有关资料和最终索赔报告。索赔答复程序与（3）、（4）规定相同。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36.3　承包人未能按合同约定履行自己的各项义务或发生错误，给发包人造成经济损失，发包人可按36.2款确定的时限向承包人提出索赔。</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37.争议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37.1　发包人承包人在履行合同时发生争议，可以和解或者要求有关主管部门调解。当事人不愿和解、调解或者和解、调解不成的，双方可以在专用条款内约定以下一种方式解决争议：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第一种解决方式：双方达成仲裁协议，向约定的仲裁委员会申请仲裁；</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第二种解决方式；向有管辖权的人民法院起诉。</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37.2　发生争议后，除非出现下列情况的，双方都应继续履行合同，保持施工连续，保护好已完工程：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（1）单方违约导致合同确已无法履行，双方协议停止施工；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（2）调解要求停止施工，且为双方接受；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（3）仲裁机构要求停止施工；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（4）法院要求停止施工。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十一、其他</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38.工程分包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38.1　承包人按专用条款的约定分包所承包的部分工程，并与分包单位签订分包合同。非经发包人同意，承包人不得将承包工程的任何部分分包。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38.2　承包人不得将其承包的全部工程转包给他人，也不得将其承包的全部工程肢解以后以分包的名义分别转包给他人。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38.3　工程分包不能解除承包人任何责任与义务。承包人应在分包场地派驻相应管理人员，保证本合同的履行。分包单位的任何违约行为或疏忽导致工程损害或给发包人造成其他损失，承包人承担连带责任。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38.4　分包工程价款由承包人与分包单位结算。发包人未经承包人同意不得以任何形式向分包单位支付各种工程款项。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39.不可抗力</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39.1　不可抗力包括因战争、动乱、空中飞行物体坠落或其他非发包人承包人责任造成的爆炸、火灾，以及专用条款约定的风、雨、雪、洪、震等自然灾害。</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39.2　不可抗力事件发生后，承包人应立即通知工程师，并在力所能及的条件下迅速采取措施，尽力减少损失，发包人应协助承包人采取措施。工程师认为应当暂停施工的，承包人应暂停施工。不可抗力事件结束后48小时内承包人向工程师通报受害情况和损失情况，及预计清理和修复的费用。不可抗力事件持续发生，承包人应每隔7天向工程师报告一次受害情况。不可抗力事件结束后14天内，承包人向工程师提交清理和修复费用的正式报告及有关资料。</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39.3　因不可抗力事件导致的费用及延误的工期由双方按以下方法分别承担：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（1）工程本身的损害、因工程损害导致第三人人员伤亡和财产损失以及运至施工场地用于施工的材料和待安装的设备的损害，由发包人承担；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（2）发包人承包人人员伤亡由其所在单位负责，并承担相应费用；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（3）承包人机械设备损坏及停工损失，由承包人承担；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（4）停工期间，承包人应工程师要求留在施工场地的必要的管理人员及保卫人员的费用由发包人承担；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（5）工程所需清理、修复费用，由发包人承担；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（6）延误的工期相应顺延。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39.4　因合同一方迟延履行合同后发生不可抗力的，不能免除迟延履行方的相应责任。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40.保险</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40.1　工程开工前，发包人为建设工程和施工场地内的自有人员及第三人人员生命财产办理保险，支付保险费用。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40.2　运至施工场地内用于工程的材料和待安装设备，由发包人办理保险，并支付保险费用。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40.3　发包人可以将有关保险事项委托承包人办理，费用由发包人承担。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40.4　承包人必须为从事危险作业的职工办理意外伤害保险，并为施工场地内自有人员生命财产和施工机械设备办理保险，支付保险费用。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40.5　保险事故发生时，发包人承包人有责任尽力采取必要的措施，防止或者减少损失。</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40.6　具体投保内容和相关责任，发包人承包人在专用条款中约定。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41.担保</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41.1　发包人承包人为了全面履行合同，应互相提供以下担保：</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（1）发包人向承包人提供履约担保，按合同约定支付工程价款及履行合同约定的其他义务。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（2）承包人向发包人提供履约担保，按合同约定履行自己的各项义务。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41.2　一方违约后，另一方可要求提供担保的第三人承担相应责任。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41.3　提供担保的内容、方式和相关责任，发包人承包人除在专用条款中约定外，被担保方与担保方还应签订担保合同，作为本合同附件。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42.专利技术及特殊工艺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42.1　发包人要求使用专利技术或特殊工艺，应负责办理相应的申报手续，承担申报、试验、使用等费用；承包人提出使用专利技术或特殊工艺，应取得工程师认可，承包人负责办理申报手续并承担有关费用。</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42.2　擅自使用专利技术侵犯他人专利权的，责任者依法承担相应责任。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43.文物和地下障碍物</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43.1　在施工中发现古墓、古建筑遗址等文物及化石或其他有考古、地质研究等价值的物品时，承包人应立即保护好现场并于4小时内以书面形式通知工程师，工程师应于收到书面通知后24小时内报告当地文物管理部门，发包人承包人按文物管理部门的要求采取妥善保护措施。发包人承担由此发生的费用，顺延延误的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如发现后隐瞒不报，致使文物遭受破坏，责任者依法承担相应责任。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43.2　施工中发现影响施工的地下障碍物时，承包人应于8小时内以书面形式通知工程师，同时提出处置方案，工程师收到处置方案后24小时内予以认可或提出修正方案。发包人承担由此发生的费用，顺延延误的工期。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所发现的地下障碍物有归属单位时，发包人应报请有关部门协同处置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44.合同解除</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44.1　发包人承包人协商一致，可以解除合同。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44.2　发生本通用条款第26.4款情况，停止施工超过56天，发包人仍不支付工程款（进度款），承包人有权解除合同。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44.3　发生本通用条款第38.2款禁止的情况，承包人将其承包的全部工程转包给他人或者肢解以后以分包的包义分别转包给他人，发包人有权解除合同。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44.4　有下列情形之一的，发包人承包人可以解除合同：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（1）因不可抗力致使合同无法履行；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（2）因一方违约（包括因发包人原因造成工程停建或缓建）致使合同无法履行。</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44.5　一方依据44.2、44.3、44.4款约定要求解除合同的，应以书面形式向对方发出解除合同的通知，并在发出通知前7天告知对方，通知到达对方时合同解除。对解除合同有争议的，按本通用条款第37条关于争议的约定处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44.6　合同解除后，承包人应妥善做好已完工程和已购材料、设备的保护和移交工作，按发包人要求将自有机械设备和人员撤出施工场地。发包人应为承包人撤出提供必要条件，支付以上所发生的费用，并按合同约定支付已完工程价款。已经订货的材料、设备由订货方负责退货或解除订货合同，不能退还的货款和因退货、解除订货合同发生的费用，由发包人承担，因未及时退货造成的损失由责任方承担。除此之外，有过错的一方应当赔偿因合同解除给对方造成的损失。</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44.7　合同解除后，不影响双方在合同中约定的结算和清理条款的效力。</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45.合同生效与终止</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45.1　双方在协议书中约定合同生效方式。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45.2　除本通用条款第34条外，发包人承包人履行合同全部义务，竣工结算价款支付完毕，承包人向发包人交付竣工工程后，本合同即告终止。</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45.3　合同的权利义务终止后，发包人承包人应当遵循诚实信用原则，履行通知、协助、保密等义务。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46.合同份数</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46.1　本合同正本两份，具有同等效力，由发包人承包人分别保存一份。</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46.2　本合同副本份数，由双方根据需要在专用条款内约定。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47.补充条款。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双方根据有关法律、行政法规规定，结合工程实际，经协商一致后，可对本通用条款内容具体化、补充或修改，在专用条款内约定。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第三部分　专用条款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一、词语定义及合同文件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2.合同文件及解释顺序</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合同文件组成及解释顺序：</w:t>
      </w:r>
      <w:r>
        <w:rPr>
          <w:color w:val="000000"/>
          <w:kern w:val="0"/>
          <w:sz w:val="24"/>
          <w:u w:val="single"/>
        </w:rPr>
        <w:t>（1）本合同协议书（2）工程的洽商、变更等书面协议（3）本合同专用条款（4）本合同通用条款（5）</w:t>
      </w:r>
      <w:r>
        <w:rPr>
          <w:rFonts w:hint="eastAsia"/>
          <w:color w:val="000000"/>
          <w:kern w:val="0"/>
          <w:sz w:val="24"/>
          <w:u w:val="single"/>
        </w:rPr>
        <w:t>询价</w:t>
      </w:r>
      <w:r>
        <w:rPr>
          <w:color w:val="000000"/>
          <w:kern w:val="0"/>
          <w:sz w:val="24"/>
          <w:u w:val="single"/>
        </w:rPr>
        <w:t>谈判文件（6）标准、规范及有关技术文件、技术要求（7）图纸（8）工程预算书。</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3.语言文字和适用法律、标准及规范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3.1　本合同除使用汉语外，还使用＿＿＿＿语言文字。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　适用法律和法规</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需要明示的法律、行政法规：＿＿＿＿＿＿＿＿＿＿＿＿＿＿＿＿＿＿＿＿＿＿＿＿＿</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3.3　适用标准、规范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适用标准、规范的名称：</w:t>
      </w:r>
      <w:r>
        <w:rPr>
          <w:color w:val="000000"/>
          <w:kern w:val="0"/>
          <w:sz w:val="24"/>
          <w:u w:val="single"/>
        </w:rPr>
        <w:t>《中华人民共和国建筑法》、《中华人民共和国合同法》、《中华人民共和国</w:t>
      </w:r>
      <w:r>
        <w:rPr>
          <w:rFonts w:hint="eastAsia"/>
          <w:color w:val="000000"/>
          <w:kern w:val="0"/>
          <w:sz w:val="24"/>
          <w:u w:val="single"/>
        </w:rPr>
        <w:t>询价响应</w:t>
      </w:r>
      <w:r>
        <w:rPr>
          <w:color w:val="000000"/>
          <w:kern w:val="0"/>
          <w:sz w:val="24"/>
          <w:u w:val="single"/>
        </w:rPr>
        <w:t xml:space="preserve">法》、《江苏省建设工程质量管理条例》及其它有关法律、法规。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发包人提供标准、规范的时间：＿＿＿＿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国内没有相应标准、规范时的约定：＿＿＿＿＿＿＿＿＿＿＿＿＿＿＿＿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4.图纸</w:t>
      </w:r>
    </w:p>
    <w:p>
      <w:pPr>
        <w:widowControl/>
        <w:shd w:val="clear" w:color="auto" w:fill="FFFFFF"/>
        <w:spacing w:line="330" w:lineRule="atLeast"/>
        <w:ind w:firstLine="480"/>
        <w:jc w:val="left"/>
        <w:rPr>
          <w:rFonts w:hint="eastAsia" w:ascii="宋体" w:hAnsi="宋体" w:cs="宋体"/>
          <w:color w:val="000000"/>
          <w:kern w:val="0"/>
          <w:sz w:val="24"/>
          <w:u w:val="single"/>
        </w:rPr>
      </w:pPr>
      <w:r>
        <w:rPr>
          <w:rFonts w:ascii="宋体" w:hAnsi="宋体" w:cs="宋体"/>
          <w:color w:val="000000"/>
          <w:kern w:val="0"/>
          <w:sz w:val="24"/>
        </w:rPr>
        <w:t>　　4.1　发包人向承包人提供图纸日期和套数：</w:t>
      </w:r>
      <w:r>
        <w:rPr>
          <w:rFonts w:hint="eastAsia" w:ascii="宋体" w:hAnsi="宋体" w:cs="宋体"/>
          <w:color w:val="000000"/>
          <w:kern w:val="0"/>
          <w:sz w:val="24"/>
          <w:u w:val="single"/>
        </w:rPr>
        <w:t xml:space="preserve">乙方向甲方提供具有与本工程相适应的资质，按甲方要求规划的路线施工。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发包人对图纸的保密要求：＿＿＿＿＿＿</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使用国外图纸的要求及费用承担：＿＿＿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二、双方一般权利和义务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5.工程师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5.2　监理单位委派的工程师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姓名：＿＿＿＿＿职务：＿＿＿＿＿＿＿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发包人委托的职权：＿＿＿＿＿＿＿＿＿＿＿＿＿＿＿＿＿＿＿＿＿＿＿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需要取得发包人批准才能行使的职权：＿＿＿＿＿＿＿＿＿＿＿＿＿＿＿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5.3　发包人派驻的工程师</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姓名：＿＿＿＿＿职务：＿＿＿＿＿＿＿</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职权：＿＿＿＿＿＿＿＿＿＿＿＿＿＿＿＿＿＿＿＿＿＿＿＿＿＿＿＿＿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5.6　不实行监理的，工程师的职权：＿＿＿＿＿＿＿＿＿＿＿＿＿＿＿＿</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7.项目经理</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姓名：</w:t>
      </w:r>
      <w:r>
        <w:rPr>
          <w:rFonts w:hint="eastAsia" w:ascii="宋体" w:hAnsi="宋体" w:cs="宋体"/>
          <w:color w:val="000000"/>
          <w:kern w:val="0"/>
          <w:sz w:val="24"/>
          <w:u w:val="single"/>
        </w:rPr>
        <w:t xml:space="preserve"> </w:t>
      </w:r>
      <w:r>
        <w:rPr>
          <w:rFonts w:ascii="宋体" w:hAnsi="宋体" w:cs="宋体"/>
          <w:color w:val="000000"/>
          <w:kern w:val="0"/>
          <w:sz w:val="24"/>
        </w:rPr>
        <w:t>＿＿＿＿职务：＿＿＿＿＿＿＿＿</w:t>
      </w:r>
    </w:p>
    <w:p>
      <w:pPr>
        <w:widowControl/>
        <w:shd w:val="clear" w:color="auto" w:fill="FFFFFF"/>
        <w:spacing w:line="330" w:lineRule="atLeast"/>
        <w:ind w:firstLine="465"/>
        <w:jc w:val="left"/>
        <w:rPr>
          <w:rFonts w:hint="eastAsia" w:ascii="宋体" w:hAnsi="宋体" w:cs="宋体"/>
          <w:color w:val="000000"/>
          <w:kern w:val="0"/>
          <w:sz w:val="24"/>
          <w:u w:val="single"/>
        </w:rPr>
      </w:pPr>
      <w:r>
        <w:rPr>
          <w:rFonts w:ascii="宋体" w:hAnsi="宋体" w:cs="宋体"/>
          <w:color w:val="000000"/>
          <w:kern w:val="0"/>
          <w:sz w:val="24"/>
        </w:rPr>
        <w:t>姓名：</w:t>
      </w:r>
      <w:r>
        <w:rPr>
          <w:rFonts w:hint="eastAsia" w:ascii="宋体" w:hAnsi="宋体" w:cs="宋体"/>
          <w:color w:val="000000"/>
          <w:kern w:val="0"/>
          <w:sz w:val="24"/>
          <w:u w:val="single"/>
        </w:rPr>
        <w:t xml:space="preserve">         </w:t>
      </w:r>
      <w:r>
        <w:rPr>
          <w:rFonts w:ascii="宋体" w:hAnsi="宋体" w:cs="宋体"/>
          <w:color w:val="000000"/>
          <w:kern w:val="0"/>
          <w:sz w:val="24"/>
        </w:rPr>
        <w:t>职务：</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8.发包人工作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8.1　发包人应按约定的时间和要求完成以下工作：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（1）施工场地具备施工条件的要求及完成的时间：</w:t>
      </w:r>
      <w:r>
        <w:rPr>
          <w:color w:val="000000"/>
          <w:kern w:val="0"/>
          <w:sz w:val="24"/>
          <w:u w:val="single"/>
        </w:rPr>
        <w:t>已具备施工条件。</w:t>
      </w:r>
      <w:r>
        <w:rPr>
          <w:rFonts w:ascii="宋体" w:hAnsi="宋体" w:cs="宋体"/>
          <w:color w:val="000000"/>
          <w:kern w:val="0"/>
          <w:sz w:val="24"/>
        </w:rPr>
        <w:t>＿＿＿＿＿＿＿＿＿＿＿＿＿＿＿＿＿＿＿＿＿＿＿＿＿＿＿＿＿＿＿＿＿＿＿＿＿＿＿＿＿</w:t>
      </w:r>
    </w:p>
    <w:p>
      <w:pPr>
        <w:widowControl/>
        <w:numPr>
          <w:ilvl w:val="0"/>
          <w:numId w:val="5"/>
        </w:numPr>
        <w:shd w:val="clear" w:color="auto" w:fill="FFFFFF"/>
        <w:spacing w:line="330" w:lineRule="atLeast"/>
        <w:ind w:firstLine="480"/>
        <w:jc w:val="left"/>
        <w:rPr>
          <w:rFonts w:hint="eastAsia" w:ascii="宋体" w:hAnsi="宋体" w:cs="宋体"/>
          <w:color w:val="000000"/>
          <w:kern w:val="0"/>
          <w:sz w:val="24"/>
        </w:rPr>
      </w:pPr>
      <w:r>
        <w:rPr>
          <w:rFonts w:ascii="宋体" w:hAnsi="宋体" w:cs="宋体"/>
          <w:color w:val="000000"/>
          <w:kern w:val="0"/>
          <w:sz w:val="24"/>
        </w:rPr>
        <w:t>将施工所需的水、电、电讯线路接至施工场地的时间、地点和供应要求：</w:t>
      </w:r>
      <w:r>
        <w:rPr>
          <w:color w:val="000000"/>
          <w:kern w:val="0"/>
          <w:sz w:val="24"/>
          <w:u w:val="single"/>
        </w:rPr>
        <w:t>已具备施工条件。</w:t>
      </w:r>
      <w:r>
        <w:rPr>
          <w:rFonts w:ascii="宋体" w:hAnsi="宋体" w:cs="宋体"/>
          <w:color w:val="000000"/>
          <w:kern w:val="0"/>
          <w:sz w:val="24"/>
        </w:rPr>
        <w:t>＿＿</w:t>
      </w:r>
    </w:p>
    <w:p>
      <w:pPr>
        <w:widowControl/>
        <w:shd w:val="clear" w:color="auto" w:fill="FFFFFF"/>
        <w:spacing w:line="330" w:lineRule="atLeast"/>
        <w:ind w:firstLine="480"/>
        <w:jc w:val="left"/>
        <w:rPr>
          <w:rFonts w:ascii="宋体" w:hAnsi="宋体" w:cs="宋体"/>
          <w:color w:val="000000"/>
          <w:kern w:val="0"/>
          <w:sz w:val="24"/>
        </w:rPr>
      </w:pPr>
      <w:r>
        <w:rPr>
          <w:rFonts w:hint="eastAsia" w:ascii="宋体" w:hAnsi="宋体" w:cs="宋体"/>
          <w:b/>
          <w:kern w:val="0"/>
          <w:sz w:val="24"/>
          <w:u w:val="single"/>
        </w:rPr>
        <w:t>工程中水电由发包人提供，结算时统一扣除。</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（3）施工场地与公共道路的通道开通时间和要求：</w:t>
      </w:r>
      <w:r>
        <w:rPr>
          <w:color w:val="000000"/>
          <w:kern w:val="0"/>
          <w:sz w:val="24"/>
          <w:u w:val="single"/>
        </w:rPr>
        <w:t>开工前3天。</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（4）工程地质和地下管线资料的提供时间：</w:t>
      </w:r>
      <w:r>
        <w:rPr>
          <w:color w:val="000000"/>
          <w:kern w:val="0"/>
          <w:sz w:val="24"/>
          <w:u w:val="single"/>
        </w:rPr>
        <w:t>开工前3天。</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（5）由发包人办理的施工所需证件、批件的名称和完成时间：</w:t>
      </w:r>
      <w:r>
        <w:rPr>
          <w:color w:val="000000"/>
          <w:kern w:val="0"/>
          <w:sz w:val="24"/>
          <w:u w:val="single"/>
        </w:rPr>
        <w:t>开工前3天。</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（6）水准点与座标控制点交验要求：</w:t>
      </w:r>
      <w:r>
        <w:rPr>
          <w:color w:val="000000"/>
          <w:kern w:val="0"/>
          <w:sz w:val="24"/>
          <w:u w:val="single"/>
        </w:rPr>
        <w:t>开工前3天。</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（7）图纸会审和设计交底时间：</w:t>
      </w:r>
      <w:r>
        <w:rPr>
          <w:color w:val="000000"/>
          <w:kern w:val="0"/>
          <w:sz w:val="24"/>
          <w:u w:val="single"/>
        </w:rPr>
        <w:t>开工前3天。</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（8）协调处理施工场地周围地下管线和邻近建筑物、构筑物（含文物保护建筑）、古树名木的保护工作：＿＿＿＿＿＿＿＿＿＿＿＿＿＿＿＿＿＿＿＿＿＿＿＿＿＿＿＿＿＿＿＿＿＿＿＿＿＿＿＿＿＿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（9）双方约定发包人应做的其他工作：＿＿＿＿＿＿＿＿＿＿＿＿＿＿＿＿＿＿＿＿＿＿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8.2　发包人委托承包人办理的工作：＿＿＿＿＿＿＿＿＿＿＿＿＿＿＿＿＿＿＿＿＿＿＿＿＿＿＿＿＿＿＿＿＿＿＿＿＿＿＿＿＿＿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9.承包人工作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9.1　承包人应按约定时间和要求，完成以下工作：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（1）需由设计资质等级和业务范围允许的承包人完成的设计文件提交时间：＿</w:t>
      </w:r>
      <w:r>
        <w:rPr>
          <w:rFonts w:hint="eastAsia" w:ascii="宋体" w:hAnsi="宋体" w:cs="宋体"/>
          <w:color w:val="000000"/>
          <w:kern w:val="0"/>
          <w:sz w:val="24"/>
          <w:u w:val="single"/>
        </w:rPr>
        <w:t xml:space="preserve">乙方负责施工方案，并协调解决与设计有关的问题  </w:t>
      </w:r>
      <w:r>
        <w:rPr>
          <w:rFonts w:ascii="宋体" w:hAnsi="宋体" w:cs="宋体"/>
          <w:color w:val="000000"/>
          <w:kern w:val="0"/>
          <w:sz w:val="24"/>
        </w:rPr>
        <w:t>＿＿＿＿＿＿＿＿＿＿＿＿＿＿＿＿＿＿＿＿</w:t>
      </w:r>
    </w:p>
    <w:p>
      <w:pPr>
        <w:pStyle w:val="21"/>
        <w:ind w:firstLine="472" w:firstLineChars="196"/>
        <w:jc w:val="both"/>
        <w:rPr>
          <w:kern w:val="0"/>
        </w:rPr>
      </w:pPr>
      <w:r>
        <w:rPr>
          <w:rFonts w:ascii="宋体" w:hAnsi="宋体" w:cs="宋体"/>
          <w:color w:val="000000"/>
          <w:kern w:val="0"/>
          <w:sz w:val="24"/>
        </w:rPr>
        <w:t>（2）应提供计划、报表的名称及完成时间：</w:t>
      </w:r>
      <w:r>
        <w:rPr>
          <w:rFonts w:hint="eastAsia" w:ascii="宋体" w:hAnsi="宋体" w:cs="宋体"/>
          <w:color w:val="000000"/>
          <w:kern w:val="0"/>
          <w:sz w:val="24"/>
          <w:u w:val="single"/>
        </w:rPr>
        <w:t xml:space="preserve">  </w:t>
      </w:r>
      <w:r>
        <w:rPr>
          <w:color w:val="000000"/>
          <w:kern w:val="0"/>
          <w:sz w:val="24"/>
          <w:u w:val="single"/>
        </w:rPr>
        <w:t>进场</w:t>
      </w:r>
      <w:r>
        <w:rPr>
          <w:rFonts w:hint="eastAsia"/>
          <w:color w:val="000000"/>
          <w:kern w:val="0"/>
          <w:sz w:val="24"/>
          <w:u w:val="single"/>
        </w:rPr>
        <w:t>前</w:t>
      </w:r>
      <w:r>
        <w:rPr>
          <w:color w:val="000000"/>
          <w:kern w:val="0"/>
          <w:sz w:val="24"/>
          <w:u w:val="single"/>
        </w:rPr>
        <w:t xml:space="preserve">提供材料计划，向发包人及监理方提供详细的施工进度计划。  </w:t>
      </w:r>
      <w:r>
        <w:rPr>
          <w:rFonts w:hint="eastAsia" w:ascii="宋体" w:hAnsi="宋体" w:cs="宋体"/>
          <w:color w:val="000000"/>
          <w:kern w:val="0"/>
          <w:sz w:val="24"/>
          <w:u w:val="single"/>
        </w:rPr>
        <w:t xml:space="preserve">                      </w:t>
      </w:r>
      <w:r>
        <w:rPr>
          <w:kern w:val="0"/>
        </w:rPr>
        <w:t>　</w:t>
      </w:r>
    </w:p>
    <w:p>
      <w:pPr>
        <w:widowControl/>
        <w:shd w:val="clear" w:color="auto" w:fill="FFFFFF"/>
        <w:spacing w:line="330" w:lineRule="atLeast"/>
        <w:jc w:val="left"/>
        <w:rPr>
          <w:rFonts w:ascii="宋体" w:hAnsi="宋体" w:cs="宋体"/>
          <w:color w:val="000000"/>
          <w:kern w:val="0"/>
          <w:sz w:val="24"/>
          <w:u w:val="single"/>
        </w:rPr>
      </w:pPr>
      <w:r>
        <w:rPr>
          <w:rFonts w:ascii="宋体" w:hAnsi="宋体" w:cs="宋体"/>
          <w:color w:val="000000"/>
          <w:kern w:val="0"/>
          <w:sz w:val="24"/>
        </w:rPr>
        <w:t>　　（3）承担施工安全保卫工作及非夜间施工照明的责任和要求：</w:t>
      </w:r>
      <w:r>
        <w:rPr>
          <w:color w:val="000000"/>
          <w:kern w:val="0"/>
          <w:sz w:val="24"/>
          <w:u w:val="single"/>
        </w:rPr>
        <w:t>负责施工现场的安全责任。</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（4）向发包人提供的办公和生活房屋及设施的要求：＿＿＿＿＿＿＿＿＿＿＿＿＿＿＿＿＿＿＿＿＿＿＿＿＿＿＿＿＿＿＿＿＿＿＿＿＿＿＿＿＿＿</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（5）需承包人办理的有关施工场地交通、环卫和施工噪音管理等手续：＿＿＿＿＿＿＿＿＿＿＿＿＿＿＿＿＿＿＿＿＿＿＿＿＿＿＿＿＿＿</w:t>
      </w:r>
    </w:p>
    <w:p>
      <w:pPr>
        <w:widowControl/>
        <w:shd w:val="clear" w:color="auto" w:fill="FFFFFF"/>
        <w:spacing w:line="330" w:lineRule="atLeast"/>
        <w:jc w:val="left"/>
        <w:rPr>
          <w:rFonts w:hint="eastAsia" w:ascii="宋体" w:hAnsi="宋体" w:cs="宋体"/>
          <w:color w:val="000000"/>
          <w:kern w:val="0"/>
          <w:sz w:val="24"/>
          <w:u w:val="single"/>
        </w:rPr>
      </w:pPr>
      <w:r>
        <w:rPr>
          <w:rFonts w:ascii="宋体" w:hAnsi="宋体" w:cs="宋体"/>
          <w:color w:val="000000"/>
          <w:kern w:val="0"/>
          <w:sz w:val="24"/>
        </w:rPr>
        <w:t>　　（6）已完工程成品保护的特殊要求及费用承担：＿</w:t>
      </w:r>
      <w:r>
        <w:rPr>
          <w:rFonts w:hint="eastAsia"/>
          <w:color w:val="000000"/>
          <w:kern w:val="0"/>
          <w:sz w:val="24"/>
          <w:u w:val="single"/>
        </w:rPr>
        <w:t>保护好原有房屋及周边绿化、排气管、消防管等，损坏由乙方负责修复或支付修复费用。</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（7）施工场地周围地下管线和邻近建筑物、构筑物（含文物保护建筑）、古树名木的保护要求及费用承担：</w:t>
      </w:r>
      <w:r>
        <w:rPr>
          <w:rFonts w:hint="eastAsia"/>
          <w:color w:val="000000"/>
          <w:kern w:val="0"/>
          <w:sz w:val="24"/>
          <w:u w:val="single"/>
        </w:rPr>
        <w:t>保护好四周的绿化、树木。</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（8）施工场地清洁卫生的要求：</w:t>
      </w:r>
      <w:r>
        <w:rPr>
          <w:color w:val="000000"/>
          <w:kern w:val="0"/>
          <w:sz w:val="24"/>
          <w:u w:val="single"/>
        </w:rPr>
        <w:t>按标准化施工现场要求办理。</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（9）双方约定承包人应做的其他工作：＿＿＿＿＿＿＿＿＿＿＿＿＿＿＿＿＿＿＿＿＿＿＿＿＿＿＿＿＿＿＿＿＿＿＿＿＿＿＿＿＿＿</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三、施工组织设计和工期</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10.进度计划</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10.1　承包人提供施工组织设计（施工方案）和进度计划的时间：</w:t>
      </w:r>
      <w:r>
        <w:rPr>
          <w:color w:val="000000"/>
          <w:kern w:val="0"/>
          <w:sz w:val="24"/>
          <w:u w:val="single"/>
        </w:rPr>
        <w:t xml:space="preserve">每周四报周进度计划。    </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工程师确认的时间：＿＿＿＿＿＿＿＿＿＿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10.2　群体工程中有关进度计划的要求：＿</w:t>
      </w:r>
      <w:r>
        <w:rPr>
          <w:color w:val="000000"/>
          <w:kern w:val="0"/>
          <w:sz w:val="24"/>
          <w:u w:val="single"/>
        </w:rPr>
        <w:t xml:space="preserve">收到承包人资料三天内予以确认，如逾期未确认也未提出意见，则视为认可。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13.工期延误</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13.1　双方约定工期顺延的其他情况：</w:t>
      </w:r>
      <w:r>
        <w:rPr>
          <w:rFonts w:hint="eastAsia" w:ascii="宋体" w:hAnsi="宋体" w:cs="宋体"/>
          <w:color w:val="000000"/>
          <w:kern w:val="0"/>
          <w:sz w:val="24"/>
          <w:u w:val="single"/>
        </w:rPr>
        <w:t>①</w:t>
      </w:r>
      <w:r>
        <w:rPr>
          <w:color w:val="000000"/>
          <w:kern w:val="0"/>
          <w:sz w:val="24"/>
          <w:u w:val="single"/>
        </w:rPr>
        <w:t>由发包人原因延误和国家行政要求停工（非承包人责任）工期顺延。</w:t>
      </w:r>
      <w:r>
        <w:rPr>
          <w:rFonts w:hint="eastAsia" w:ascii="宋体" w:hAnsi="宋体" w:cs="宋体"/>
          <w:color w:val="000000"/>
          <w:kern w:val="0"/>
          <w:sz w:val="24"/>
          <w:u w:val="single"/>
        </w:rPr>
        <w:t xml:space="preserve">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四、质量与验收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17.隐蔽工程和中间验收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17.1　双方约定中间验收部位：</w:t>
      </w:r>
      <w:r>
        <w:rPr>
          <w:rFonts w:hint="eastAsia" w:ascii="宋体" w:hAnsi="宋体" w:cs="宋体"/>
          <w:color w:val="000000"/>
          <w:kern w:val="0"/>
          <w:sz w:val="24"/>
          <w:u w:val="single"/>
        </w:rPr>
        <w:t xml:space="preserve">     </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19.工程试车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19.5　试车费用地承担：＿＿＿＿＿＿＿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五、安全施工</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六、合同价款与支付</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23.合同价款及调整</w:t>
      </w:r>
    </w:p>
    <w:p>
      <w:pPr>
        <w:widowControl/>
        <w:spacing w:line="330" w:lineRule="atLeast"/>
        <w:jc w:val="left"/>
        <w:rPr>
          <w:rFonts w:ascii="宋体" w:hAnsi="宋体" w:cs="宋体"/>
          <w:color w:val="000000"/>
          <w:kern w:val="0"/>
          <w:sz w:val="24"/>
        </w:rPr>
      </w:pPr>
      <w:r>
        <w:rPr>
          <w:rFonts w:ascii="宋体" w:hAnsi="宋体" w:cs="宋体"/>
          <w:color w:val="000000"/>
          <w:kern w:val="0"/>
          <w:sz w:val="24"/>
        </w:rPr>
        <w:t>　　23.2　本合同价款采用</w:t>
      </w:r>
      <w:r>
        <w:rPr>
          <w:rFonts w:hint="eastAsia" w:ascii="宋体" w:hAnsi="宋体" w:cs="宋体"/>
          <w:color w:val="000000"/>
          <w:kern w:val="0"/>
          <w:sz w:val="24"/>
          <w:u w:val="single"/>
        </w:rPr>
        <w:t xml:space="preserve">       </w:t>
      </w:r>
      <w:r>
        <w:rPr>
          <w:color w:val="000000"/>
          <w:kern w:val="0"/>
          <w:sz w:val="24"/>
          <w:u w:val="single"/>
        </w:rPr>
        <w:t>固定</w:t>
      </w:r>
      <w:r>
        <w:rPr>
          <w:rFonts w:hint="eastAsia"/>
          <w:color w:val="000000"/>
          <w:kern w:val="0"/>
          <w:sz w:val="24"/>
          <w:u w:val="single"/>
        </w:rPr>
        <w:t>单价</w:t>
      </w:r>
      <w:r>
        <w:rPr>
          <w:color w:val="000000"/>
          <w:kern w:val="0"/>
          <w:sz w:val="24"/>
          <w:u w:val="single"/>
        </w:rPr>
        <w:t>合同</w:t>
      </w:r>
      <w:r>
        <w:rPr>
          <w:rFonts w:ascii="宋体" w:hAnsi="宋体" w:cs="宋体"/>
          <w:color w:val="000000"/>
          <w:kern w:val="0"/>
          <w:sz w:val="24"/>
        </w:rPr>
        <w:t>＿＿＿＿＿＿＿＿方式确定。</w:t>
      </w:r>
    </w:p>
    <w:p>
      <w:pPr>
        <w:pStyle w:val="9"/>
        <w:numPr>
          <w:ilvl w:val="0"/>
          <w:numId w:val="6"/>
        </w:numPr>
        <w:ind w:firstLine="480"/>
        <w:rPr>
          <w:rFonts w:hint="eastAsia" w:ascii="宋体" w:hAnsi="宋体"/>
          <w:sz w:val="24"/>
          <w:szCs w:val="24"/>
          <w:u w:val="single"/>
        </w:rPr>
      </w:pPr>
      <w:r>
        <w:rPr>
          <w:rFonts w:ascii="宋体" w:hAnsi="宋体" w:cs="宋体"/>
          <w:color w:val="000000"/>
          <w:kern w:val="0"/>
          <w:sz w:val="24"/>
        </w:rPr>
        <w:t>采用固定价格合同，合同价款中包括的风险范围：</w:t>
      </w:r>
      <w:r>
        <w:rPr>
          <w:rFonts w:hint="eastAsia" w:ascii="宋体" w:hAnsi="宋体"/>
          <w:sz w:val="24"/>
          <w:szCs w:val="24"/>
          <w:u w:val="single"/>
        </w:rPr>
        <w:t>各种因素引起的材料价格、人工工资、施工机械使用费、管理费、利润等变化及风险因素。结算时不调整；</w:t>
      </w:r>
    </w:p>
    <w:p>
      <w:pPr>
        <w:pStyle w:val="9"/>
        <w:numPr>
          <w:ilvl w:val="0"/>
          <w:numId w:val="6"/>
        </w:numPr>
        <w:ind w:firstLine="480"/>
        <w:rPr>
          <w:rFonts w:hint="eastAsia" w:ascii="宋体" w:hAnsi="宋体"/>
          <w:sz w:val="24"/>
          <w:szCs w:val="24"/>
          <w:u w:val="single"/>
        </w:rPr>
      </w:pPr>
      <w:r>
        <w:rPr>
          <w:rFonts w:hint="eastAsia" w:ascii="宋体" w:hAnsi="宋体"/>
          <w:sz w:val="24"/>
          <w:szCs w:val="24"/>
          <w:u w:val="single"/>
        </w:rPr>
        <w:t>合同约定的开、竣工期间的政策风险，不调整；</w:t>
      </w:r>
    </w:p>
    <w:p>
      <w:pPr>
        <w:pStyle w:val="9"/>
        <w:numPr>
          <w:ilvl w:val="0"/>
          <w:numId w:val="6"/>
        </w:numPr>
        <w:ind w:firstLine="480"/>
        <w:rPr>
          <w:rFonts w:hint="eastAsia" w:ascii="宋体" w:hAnsi="宋体"/>
          <w:sz w:val="24"/>
          <w:szCs w:val="24"/>
          <w:u w:val="single"/>
        </w:rPr>
      </w:pPr>
      <w:r>
        <w:rPr>
          <w:rFonts w:hint="eastAsia" w:ascii="宋体" w:hAnsi="宋体"/>
          <w:sz w:val="24"/>
          <w:szCs w:val="24"/>
          <w:u w:val="single"/>
        </w:rPr>
        <w:t>总价措施费结算时按响应费率执行；</w:t>
      </w:r>
    </w:p>
    <w:p>
      <w:pPr>
        <w:pStyle w:val="9"/>
        <w:numPr>
          <w:ilvl w:val="0"/>
          <w:numId w:val="6"/>
        </w:numPr>
        <w:ind w:firstLine="480"/>
        <w:rPr>
          <w:rFonts w:hint="eastAsia" w:ascii="宋体" w:hAnsi="宋体"/>
          <w:sz w:val="24"/>
          <w:szCs w:val="24"/>
          <w:u w:val="single"/>
        </w:rPr>
      </w:pPr>
      <w:r>
        <w:rPr>
          <w:rFonts w:hint="eastAsia" w:ascii="宋体" w:hAnsi="宋体"/>
          <w:sz w:val="24"/>
          <w:szCs w:val="24"/>
          <w:u w:val="single"/>
        </w:rPr>
        <w:t>单价措施费中脚手架、模板根据工程量发生变化同比例调整，其他不调整。</w:t>
      </w:r>
    </w:p>
    <w:p>
      <w:pPr>
        <w:pStyle w:val="9"/>
        <w:ind w:firstLine="480"/>
        <w:rPr>
          <w:rFonts w:hint="eastAsia" w:ascii="宋体" w:hAnsi="宋体"/>
          <w:sz w:val="24"/>
          <w:szCs w:val="24"/>
          <w:u w:val="single"/>
        </w:rPr>
      </w:pPr>
      <w:r>
        <w:rPr>
          <w:rFonts w:hint="eastAsia" w:ascii="宋体" w:hAnsi="宋体"/>
          <w:sz w:val="24"/>
          <w:szCs w:val="24"/>
        </w:rPr>
        <w:t>综合单价包括为完成工程量清单项目，每计量单位工程量所需的人工费、材料费（充分考虑材料规格尺寸、损耗及钢筋接头等）、采购保管费、材料检验试验费、施工机械使用费、企业管理费、利润，同时包含风险费用及虚拟工程量与实际工程量存在一定偏差等因素的影响及发包人的特殊要求等而增加的费用，并已包含询价文件及合同中要求的所有责任、任务和不可抗力以外的一切风险因素，该综合单价作为结算的依据，除双方另有约定外不得调整，该综合单价及相关费用亦不因时间的推移、市场波动和政策变化等任何因素而调整。</w:t>
      </w:r>
    </w:p>
    <w:p>
      <w:pPr>
        <w:widowControl/>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pacing w:line="330" w:lineRule="atLeast"/>
        <w:jc w:val="left"/>
        <w:rPr>
          <w:rFonts w:ascii="宋体" w:hAnsi="宋体" w:cs="宋体"/>
          <w:color w:val="000000"/>
          <w:kern w:val="0"/>
          <w:sz w:val="24"/>
        </w:rPr>
      </w:pPr>
      <w:r>
        <w:rPr>
          <w:rFonts w:ascii="宋体" w:hAnsi="宋体" w:cs="宋体"/>
          <w:color w:val="000000"/>
          <w:kern w:val="0"/>
          <w:sz w:val="24"/>
        </w:rPr>
        <w:t>　　风险费用的计算方法：＿＿＿＿＿＿＿＿＿＿＿＿＿＿＿＿＿＿＿＿＿＿＿</w:t>
      </w:r>
    </w:p>
    <w:p>
      <w:pPr>
        <w:tabs>
          <w:tab w:val="left" w:pos="720"/>
        </w:tabs>
        <w:spacing w:line="480" w:lineRule="exact"/>
        <w:ind w:firstLine="540" w:firstLineChars="225"/>
        <w:rPr>
          <w:rFonts w:ascii="宋体" w:hAnsi="宋体" w:cs="宋体"/>
          <w:color w:val="000000"/>
          <w:kern w:val="0"/>
          <w:sz w:val="24"/>
        </w:rPr>
      </w:pPr>
      <w:r>
        <w:rPr>
          <w:rFonts w:ascii="宋体" w:hAnsi="宋体" w:cs="宋体"/>
          <w:color w:val="000000"/>
          <w:kern w:val="0"/>
          <w:sz w:val="24"/>
        </w:rPr>
        <w:t>风险范围以外合同价款调整方法：</w:t>
      </w:r>
    </w:p>
    <w:p>
      <w:pPr>
        <w:numPr>
          <w:ilvl w:val="0"/>
          <w:numId w:val="7"/>
        </w:numPr>
        <w:tabs>
          <w:tab w:val="left" w:pos="720"/>
        </w:tabs>
        <w:spacing w:line="480" w:lineRule="exact"/>
        <w:ind w:firstLine="540" w:firstLineChars="225"/>
        <w:rPr>
          <w:rFonts w:hint="eastAsia" w:ascii="宋体" w:hAnsi="宋体" w:cs="宋体"/>
          <w:color w:val="000000"/>
          <w:kern w:val="0"/>
          <w:sz w:val="24"/>
        </w:rPr>
      </w:pPr>
      <w:r>
        <w:rPr>
          <w:rFonts w:hint="eastAsia" w:ascii="宋体" w:hAnsi="宋体" w:cs="宋体"/>
          <w:color w:val="000000"/>
          <w:kern w:val="0"/>
          <w:sz w:val="24"/>
        </w:rPr>
        <w:t>建设方批准的设计变更、签证；</w:t>
      </w:r>
    </w:p>
    <w:p>
      <w:pPr>
        <w:numPr>
          <w:ilvl w:val="0"/>
          <w:numId w:val="7"/>
        </w:numPr>
        <w:tabs>
          <w:tab w:val="left" w:pos="720"/>
        </w:tabs>
        <w:spacing w:line="480" w:lineRule="exact"/>
        <w:ind w:firstLine="540" w:firstLineChars="225"/>
        <w:rPr>
          <w:rFonts w:hint="eastAsia" w:ascii="宋体" w:hAnsi="宋体" w:cs="宋体"/>
          <w:color w:val="000000"/>
          <w:kern w:val="0"/>
          <w:sz w:val="24"/>
        </w:rPr>
      </w:pPr>
      <w:r>
        <w:rPr>
          <w:rFonts w:hint="eastAsia" w:ascii="宋体" w:hAnsi="宋体" w:cs="宋体"/>
          <w:color w:val="000000"/>
          <w:kern w:val="0"/>
          <w:sz w:val="24"/>
        </w:rPr>
        <w:t>上述变更引起的工程量清单项目，对应的综合单价按下列方法确定：</w:t>
      </w:r>
    </w:p>
    <w:p>
      <w:pPr>
        <w:tabs>
          <w:tab w:val="left" w:pos="720"/>
        </w:tabs>
        <w:spacing w:line="480" w:lineRule="exact"/>
        <w:rPr>
          <w:rFonts w:hint="eastAsia" w:ascii="宋体" w:hAnsi="宋体" w:cs="宋体"/>
          <w:color w:val="000000"/>
          <w:kern w:val="0"/>
          <w:sz w:val="24"/>
        </w:rPr>
      </w:pPr>
      <w:r>
        <w:rPr>
          <w:rFonts w:hint="eastAsia" w:ascii="宋体" w:hAnsi="宋体" w:cs="宋体"/>
          <w:color w:val="000000"/>
          <w:kern w:val="0"/>
          <w:sz w:val="24"/>
        </w:rPr>
        <w:t xml:space="preserve">     ①工程量清单项目项目特征与响应报价项目中相同的，按响应报价的综合单价计算；</w:t>
      </w:r>
    </w:p>
    <w:p>
      <w:pPr>
        <w:tabs>
          <w:tab w:val="left" w:pos="720"/>
        </w:tabs>
        <w:spacing w:line="480" w:lineRule="exact"/>
        <w:rPr>
          <w:rFonts w:hint="eastAsia" w:ascii="宋体" w:hAnsi="宋体" w:cs="宋体"/>
          <w:color w:val="000000"/>
          <w:kern w:val="0"/>
          <w:sz w:val="24"/>
        </w:rPr>
      </w:pPr>
      <w:r>
        <w:rPr>
          <w:rFonts w:hint="eastAsia" w:ascii="宋体" w:hAnsi="宋体" w:cs="宋体"/>
          <w:color w:val="000000"/>
          <w:kern w:val="0"/>
          <w:sz w:val="24"/>
        </w:rPr>
        <w:t xml:space="preserve">     ②新增工程量清单项目的项目特征与响应报价中类似的，综合单价按类似工程的材料、人工、机械台班、管理费、利润执行；</w:t>
      </w:r>
    </w:p>
    <w:p>
      <w:pPr>
        <w:tabs>
          <w:tab w:val="left" w:pos="720"/>
        </w:tabs>
        <w:spacing w:line="480" w:lineRule="exact"/>
        <w:rPr>
          <w:rFonts w:hint="eastAsia" w:ascii="宋体" w:hAnsi="宋体" w:cs="宋体"/>
          <w:color w:val="000000"/>
          <w:kern w:val="0"/>
          <w:sz w:val="24"/>
        </w:rPr>
      </w:pPr>
      <w:r>
        <w:rPr>
          <w:rFonts w:hint="eastAsia" w:ascii="宋体" w:hAnsi="宋体" w:cs="宋体"/>
          <w:color w:val="000000"/>
          <w:kern w:val="0"/>
          <w:sz w:val="24"/>
        </w:rPr>
        <w:t xml:space="preserve">     ③响应报价中没有综合单价的新的工程量清单项目：工程量清单执行《建设工程工程量清单计价规范》GB50500-2013、《房屋建筑与装饰工程工程量计算规范》GB50854-2013、《通用安装工程工程量计算规范》GB 50856-2013、《市政工程工程量计算规范》GB50857-2013、《园林绿化工程工程量计算规范》GB50858-2013、定额执行2014年《江苏省建筑与装饰工程计价定额》、《江苏省安装工程计价定额》、《江苏省市政工程计价定额》、2007年《江苏仿古建筑与园林工程计价表》、取费执行《江苏省建设工程费用定额》（2014）、江苏营改增苏建价〔2016〕154号文执行标准；人、材、机响应中已有的执行响应报价，响应中没有的，由成本人申报，发包人确认后计入；管理费、利润率执行本专业响应报价费率，同一标段管理费、利润费率不一致的，执行该标段同专业最低管理费、利润率。</w:t>
      </w:r>
    </w:p>
    <w:p>
      <w:pPr>
        <w:tabs>
          <w:tab w:val="left" w:pos="720"/>
        </w:tabs>
        <w:spacing w:line="480" w:lineRule="exact"/>
        <w:rPr>
          <w:rFonts w:hint="eastAsia" w:ascii="宋体" w:hAnsi="宋体" w:cs="宋体"/>
          <w:color w:val="000000"/>
          <w:kern w:val="0"/>
          <w:sz w:val="24"/>
          <w:highlight w:val="yellow"/>
        </w:rPr>
      </w:pP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（2）采用可调价格合同，合同价款调整方法：＿＿＿＿＿＿＿＿＿＿＿＿＿＿＿＿＿＿＿＿＿＿＿＿＿＿＿＿＿＿＿＿＿＿＿＿＿＿＿＿＿＿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（3）采用成本加酬金合同，有关成本和酬金的约定：＿＿＿＿＿＿＿＿＿＿＿＿＿＿＿＿＿＿＿＿＿＿＿＿＿＿＿＿＿＿＿＿＿＿＿＿＿＿＿＿＿＿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23.3　双方约定合同价款的其他调整因素：＿＿＿＿＿＿＿＿＿＿＿＿＿＿＿＿＿＿＿＿＿＿＿＿＿＿＿＿＿＿＿＿＿＿＿＿＿＿＿＿＿＿</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24.工程预付款</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发包人向承包人预付工程款的时间和金额或占合同价款总额的比例：＿＿＿＿＿＿＿＿＿＿＿＿＿＿＿＿＿＿＿＿＿＿＿＿＿＿＿＿＿＿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扣回工程款的时间、比例：＿＿＿＿＿＿＿＿＿＿＿＿＿＿＿＿＿＿＿＿＿＿＿＿＿＿＿＿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kern w:val="0"/>
          <w:sz w:val="24"/>
        </w:rPr>
      </w:pPr>
      <w:r>
        <w:rPr>
          <w:rFonts w:ascii="宋体" w:hAnsi="宋体" w:cs="宋体"/>
          <w:color w:val="FF0000"/>
          <w:kern w:val="0"/>
          <w:sz w:val="24"/>
        </w:rPr>
        <w:t>　　</w:t>
      </w:r>
      <w:r>
        <w:rPr>
          <w:rFonts w:ascii="宋体" w:hAnsi="宋体" w:cs="宋体"/>
          <w:kern w:val="0"/>
          <w:sz w:val="24"/>
        </w:rPr>
        <w:t>25.工程量确认</w:t>
      </w:r>
    </w:p>
    <w:p>
      <w:pPr>
        <w:widowControl/>
        <w:shd w:val="clear" w:color="auto" w:fill="FFFFFF"/>
        <w:spacing w:line="330" w:lineRule="atLeast"/>
        <w:jc w:val="left"/>
        <w:rPr>
          <w:rFonts w:ascii="宋体" w:hAnsi="宋体" w:cs="宋体"/>
          <w:kern w:val="0"/>
          <w:sz w:val="24"/>
        </w:rPr>
      </w:pPr>
      <w:r>
        <w:rPr>
          <w:rFonts w:ascii="宋体" w:hAnsi="宋体" w:cs="宋体"/>
          <w:color w:val="FF0000"/>
          <w:kern w:val="0"/>
          <w:sz w:val="24"/>
        </w:rPr>
        <w:t>　</w:t>
      </w:r>
      <w:r>
        <w:rPr>
          <w:rFonts w:ascii="宋体" w:hAnsi="宋体" w:cs="宋体"/>
          <w:kern w:val="0"/>
          <w:sz w:val="24"/>
        </w:rPr>
        <w:t>　25.1　承包人向工程师提交已完工程量报告的时间：＿＿＿＿＿＿＿＿＿＿＿＿＿＿＿＿＿＿＿＿＿＿＿＿＿＿＿＿＿＿＿＿＿＿＿＿＿＿＿＿＿＿</w:t>
      </w:r>
    </w:p>
    <w:p>
      <w:pPr>
        <w:widowControl/>
        <w:shd w:val="clear" w:color="auto" w:fill="FFFFFF"/>
        <w:spacing w:line="330" w:lineRule="atLeast"/>
        <w:jc w:val="left"/>
        <w:rPr>
          <w:rFonts w:ascii="宋体" w:hAnsi="宋体" w:cs="宋体"/>
          <w:kern w:val="0"/>
          <w:sz w:val="24"/>
        </w:rPr>
      </w:pPr>
      <w:r>
        <w:rPr>
          <w:rFonts w:ascii="宋体" w:hAnsi="宋体" w:cs="宋体"/>
          <w:kern w:val="0"/>
          <w:sz w:val="24"/>
        </w:rPr>
        <w:t>　　</w:t>
      </w:r>
    </w:p>
    <w:p>
      <w:pPr>
        <w:widowControl/>
        <w:shd w:val="clear" w:color="auto" w:fill="FFFFFF"/>
        <w:spacing w:line="330" w:lineRule="atLeast"/>
        <w:jc w:val="left"/>
        <w:rPr>
          <w:rFonts w:ascii="宋体" w:hAnsi="宋体" w:cs="宋体"/>
          <w:kern w:val="0"/>
          <w:sz w:val="24"/>
        </w:rPr>
      </w:pPr>
      <w:r>
        <w:rPr>
          <w:rFonts w:ascii="宋体" w:hAnsi="宋体" w:cs="宋体"/>
          <w:kern w:val="0"/>
          <w:sz w:val="24"/>
        </w:rPr>
        <w:t>　　26.工程款（进度款）支付</w:t>
      </w:r>
    </w:p>
    <w:p>
      <w:pPr>
        <w:spacing w:after="156" w:afterLines="50" w:line="500" w:lineRule="exact"/>
        <w:ind w:firstLine="480" w:firstLineChars="200"/>
        <w:rPr>
          <w:rFonts w:hint="eastAsia" w:ascii="宋体" w:hAnsi="宋体" w:cs="宋体"/>
          <w:color w:val="000000"/>
          <w:kern w:val="0"/>
          <w:sz w:val="24"/>
        </w:rPr>
      </w:pPr>
      <w:r>
        <w:rPr>
          <w:rFonts w:hint="eastAsia" w:ascii="宋体" w:hAnsi="宋体" w:cs="宋体"/>
          <w:color w:val="000000"/>
          <w:kern w:val="0"/>
          <w:sz w:val="24"/>
        </w:rPr>
        <w:t>竣工并通过验收，付至合同价的60%；审计完毕付至审核结算价（全额发票）</w:t>
      </w:r>
      <w:r>
        <w:rPr>
          <w:rFonts w:hint="eastAsia" w:ascii="宋体" w:hAnsi="宋体" w:cs="宋体"/>
          <w:color w:val="000000"/>
          <w:kern w:val="0"/>
          <w:sz w:val="24"/>
          <w:highlight w:val="yellow"/>
        </w:rPr>
        <w:t>的9</w:t>
      </w:r>
      <w:r>
        <w:rPr>
          <w:rFonts w:hint="eastAsia" w:ascii="宋体" w:hAnsi="宋体" w:cs="宋体"/>
          <w:color w:val="000000"/>
          <w:kern w:val="0"/>
          <w:sz w:val="24"/>
          <w:highlight w:val="yellow"/>
          <w:lang w:val="en-US" w:eastAsia="zh-CN"/>
        </w:rPr>
        <w:t>7</w:t>
      </w:r>
      <w:r>
        <w:rPr>
          <w:rFonts w:hint="eastAsia" w:ascii="宋体" w:hAnsi="宋体" w:cs="宋体"/>
          <w:color w:val="000000"/>
          <w:kern w:val="0"/>
          <w:sz w:val="24"/>
          <w:highlight w:val="yellow"/>
        </w:rPr>
        <w:t>%；质保期满后无质量缺陷将</w:t>
      </w:r>
      <w:r>
        <w:rPr>
          <w:rFonts w:hint="eastAsia" w:ascii="宋体" w:hAnsi="宋体" w:cs="宋体"/>
          <w:color w:val="000000"/>
          <w:kern w:val="0"/>
          <w:sz w:val="24"/>
          <w:highlight w:val="yellow"/>
          <w:lang w:val="en-US" w:eastAsia="zh-CN"/>
        </w:rPr>
        <w:t>3</w:t>
      </w:r>
      <w:r>
        <w:rPr>
          <w:rFonts w:hint="eastAsia" w:ascii="宋体" w:hAnsi="宋体" w:cs="宋体"/>
          <w:color w:val="000000"/>
          <w:kern w:val="0"/>
          <w:sz w:val="24"/>
          <w:highlight w:val="yellow"/>
        </w:rPr>
        <w:t>%尾款一次性免息支付</w:t>
      </w:r>
      <w:r>
        <w:rPr>
          <w:rFonts w:hint="eastAsia" w:ascii="宋体" w:hAnsi="宋体" w:cs="宋体"/>
          <w:color w:val="000000"/>
          <w:kern w:val="0"/>
          <w:sz w:val="24"/>
        </w:rPr>
        <w:t>。</w:t>
      </w:r>
    </w:p>
    <w:p>
      <w:pPr>
        <w:spacing w:after="156" w:afterLines="50" w:line="500" w:lineRule="exact"/>
        <w:ind w:firstLine="480" w:firstLineChars="200"/>
        <w:rPr>
          <w:rFonts w:ascii="宋体" w:hAnsi="宋体" w:cs="宋体"/>
          <w:color w:val="000000"/>
          <w:kern w:val="0"/>
          <w:sz w:val="24"/>
        </w:rPr>
      </w:pPr>
      <w:r>
        <w:rPr>
          <w:rFonts w:ascii="宋体" w:hAnsi="宋体" w:cs="宋体"/>
          <w:color w:val="000000"/>
          <w:kern w:val="0"/>
          <w:sz w:val="24"/>
        </w:rPr>
        <w:t>七、材料设备供应</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27.发包人供应材料设备</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27.4　发包人供应的材料设备与一览表不符时，双方约定发包人承担责任如下：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（1）材料设备单价与一览表不符：＿＿＿＿＿＿＿＿＿＿＿＿＿＿＿＿＿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（2）材料设备的品种、规格、型号、质量等级与一览表不符：＿＿＿＿＿＿＿＿＿＿＿＿＿＿＿＿＿＿＿＿＿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（3）承包人可代为调剂串换的材料：＿＿＿＿＿＿＿＿＿＿＿＿＿＿＿＿</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（4）到货地点与一览表不符：＿＿＿＿＿＿＿＿＿＿＿＿＿＿＿＿＿＿＿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（5）供应数量与一览表不符：＿＿＿＿＿＿＿＿＿＿＿＿＿＿＿＿＿＿＿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（6）到货时间与一览表不符：＿＿＿＿＿＿＿＿＿＿＿＿＿＿＿＿＿＿＿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27.6　发包人供应材料设备的结算方法：＿＿＿＿＿＿＿＿＿＿＿＿＿＿＿＿＿＿＿＿＿＿＿＿＿＿＿＿＿＿＿＿＿＿＿＿＿＿＿＿＿＿＿</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28.承包人采购材料设备</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28.1　承包人采购材料设备的约定：＿＿＿＿＿＿＿＿＿＿＿＿＿＿＿＿＿＿＿＿＿＿＿</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八、工程变更</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九、竣工验收与结算</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32.竣工验收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32.1　承包人提供竣工图的约定：</w:t>
      </w:r>
      <w:r>
        <w:rPr>
          <w:rFonts w:hint="eastAsia" w:ascii="宋体" w:hAnsi="宋体" w:cs="宋体"/>
          <w:color w:val="FF6600"/>
          <w:kern w:val="0"/>
          <w:sz w:val="24"/>
          <w:u w:val="single"/>
        </w:rPr>
        <w:t xml:space="preserve">工程竣工验收合格后15天内向甲提供竣工图。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32.6　中间交工工程的范围和竣工时间：</w:t>
      </w:r>
      <w:r>
        <w:rPr>
          <w:rFonts w:hint="eastAsia" w:ascii="宋体" w:hAnsi="宋体" w:cs="宋体"/>
          <w:color w:val="000000"/>
          <w:kern w:val="0"/>
          <w:sz w:val="24"/>
          <w:u w:val="single"/>
        </w:rPr>
        <w:t>双方协商</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center"/>
        <w:rPr>
          <w:rFonts w:ascii="宋体" w:hAnsi="宋体" w:cs="宋体"/>
          <w:color w:val="000000"/>
          <w:kern w:val="0"/>
          <w:sz w:val="24"/>
        </w:rPr>
      </w:pPr>
      <w:r>
        <w:rPr>
          <w:rFonts w:ascii="宋体" w:hAnsi="宋体" w:cs="宋体"/>
          <w:color w:val="000000"/>
          <w:kern w:val="0"/>
          <w:sz w:val="24"/>
        </w:rPr>
        <w:t>十、违约、索赔和争议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35.违约</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35.1　本合同中关于发包人违约的具体责任如下：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本合同通用条款第24条约定发包人违约应承担的违约责任：</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本合同通用条款第33.3款约定发包人违约定发应承担的违约责任：</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双方约定的发包人其他违约责任：＿</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35.2　本合同中关于承包人违约的具体责任如下：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本合同通用条款第14.2款约定承包人违约应承担的违约责任：</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本合同通用条款第15.1款约定承包人违约应承担的违约责任：</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双方约定的承包人其他违约责任：＿＿＿＿＿＿＿＿＿＿＿＿＿＿＿＿＿＿＿＿＿＿＿＿＿</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37.争议</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37.1　本合同在履行过程中发生的争议，由双方当事人协商解决，协商不成的按下列第种方式解决：</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（一）提交仲裁委员会仲裁；</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（二）依法向人民法院起诉。</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十一、其他</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38.工程分包</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38.1　本工程发包人同意承包人分包的工程：＿＿＿＿＿＿＿＿＿＿＿＿＿＿＿＿＿＿＿＿＿＿＿＿＿＿＿＿＿＿＿＿＿＿＿＿＿＿＿＿＿＿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分包施工单位为：＿＿＿＿＿＿＿＿＿＿＿</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39.不可抗力</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39.1　双方关于不可抗力的约定：＿</w:t>
      </w:r>
      <w:r>
        <w:rPr>
          <w:color w:val="000000"/>
          <w:kern w:val="0"/>
          <w:sz w:val="24"/>
          <w:u w:val="single"/>
        </w:rPr>
        <w:t>按通用条款执行。</w:t>
      </w:r>
      <w:r>
        <w:rPr>
          <w:rFonts w:ascii="宋体" w:hAnsi="宋体" w:cs="宋体"/>
          <w:color w:val="000000"/>
          <w:kern w:val="0"/>
          <w:sz w:val="24"/>
        </w:rPr>
        <w:t>＿＿＿＿＿＿＿＿＿＿＿＿＿＿＿＿＿＿＿＿＿＿＿</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40.保险</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40.6　本工程双方约定投保内容如下：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（1）发包人投保内容：＿＿＿＿＿＿＿＿＿＿＿＿＿＿＿＿＿＿＿＿＿＿＿＿＿＿＿＿＿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发包人委托承包人办理的保险事项：＿＿＿＿＿＿＿＿＿＿＿＿＿＿＿＿＿＿＿＿＿＿＿＿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（2）承包人投保内容：＿＿＿＿＿＿＿＿＿＿＿＿＿＿＿＿＿＿＿＿＿＿＿＿＿＿＿＿＿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41.担保</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41.3　本工程双方约定担保事项如下：</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（1）发包人向承包人提供履约担保，担保方式为：＿＿＿＿＿＿＿＿＿＿＿＿担保合同作为本合同附件。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（2）承包人向发包人提供履约担保，担保方式为：＿＿＿＿＿＿＿＿＿＿＿＿担保合同作为本合同附件。</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（3）双方约定的其他担保事项：＿＿＿＿＿＿＿＿＿＿＿＿＿＿＿＿＿＿＿＿＿＿＿＿＿</w:t>
      </w:r>
    </w:p>
    <w:p>
      <w:pPr>
        <w:widowControl/>
        <w:shd w:val="clear" w:color="auto" w:fill="FFFFFF"/>
        <w:spacing w:line="330" w:lineRule="atLeast"/>
        <w:jc w:val="left"/>
        <w:rPr>
          <w:rFonts w:ascii="宋体" w:hAnsi="宋体" w:cs="宋体"/>
          <w:color w:val="000000"/>
          <w:kern w:val="0"/>
          <w:sz w:val="24"/>
        </w:rPr>
      </w:pPr>
      <w:r>
        <w:rPr>
          <w:rFonts w:ascii="宋体" w:hAnsi="宋体" w:cs="宋体"/>
          <w:color w:val="000000"/>
          <w:kern w:val="0"/>
          <w:sz w:val="24"/>
        </w:rPr>
        <w:t>　　</w:t>
      </w:r>
    </w:p>
    <w:p>
      <w:pPr>
        <w:widowControl/>
        <w:shd w:val="clear" w:color="auto" w:fill="FFFFFF"/>
        <w:spacing w:line="330" w:lineRule="atLeast"/>
        <w:jc w:val="left"/>
        <w:rPr>
          <w:rFonts w:hint="eastAsia" w:ascii="宋体" w:hAnsi="宋体" w:cs="宋体"/>
          <w:kern w:val="0"/>
          <w:sz w:val="24"/>
          <w:szCs w:val="22"/>
          <w:u w:val="single"/>
        </w:rPr>
      </w:pPr>
      <w:r>
        <w:rPr>
          <w:rFonts w:ascii="宋体" w:hAnsi="宋体" w:cs="宋体"/>
          <w:color w:val="000000"/>
          <w:kern w:val="0"/>
          <w:sz w:val="24"/>
        </w:rPr>
        <w:t>　　46.合同份数</w:t>
      </w:r>
    </w:p>
    <w:p>
      <w:pPr>
        <w:widowControl/>
        <w:shd w:val="clear" w:color="auto" w:fill="FFFFFF"/>
        <w:spacing w:line="330" w:lineRule="atLeast"/>
        <w:jc w:val="left"/>
        <w:rPr>
          <w:rFonts w:hint="eastAsia" w:ascii="宋体" w:hAnsi="宋体" w:cs="宋体"/>
          <w:kern w:val="0"/>
          <w:sz w:val="24"/>
          <w:szCs w:val="22"/>
          <w:u w:val="single"/>
        </w:rPr>
      </w:pPr>
      <w:r>
        <w:rPr>
          <w:rFonts w:hint="eastAsia" w:ascii="宋体" w:hAnsi="宋体" w:cs="宋体"/>
          <w:kern w:val="0"/>
          <w:sz w:val="24"/>
          <w:szCs w:val="22"/>
          <w:u w:val="single"/>
        </w:rPr>
        <w:t>　　46.1　双方约定合同份数：</w:t>
      </w:r>
      <w:r>
        <w:rPr>
          <w:rFonts w:hint="eastAsia" w:ascii="宋体" w:hAnsi="宋体" w:cs="宋体"/>
          <w:kern w:val="0"/>
          <w:sz w:val="24"/>
          <w:szCs w:val="22"/>
          <w:highlight w:val="yellow"/>
          <w:u w:val="single"/>
        </w:rPr>
        <w:t>捌份，甲方</w:t>
      </w:r>
      <w:r>
        <w:rPr>
          <w:rFonts w:hint="eastAsia" w:ascii="宋体" w:hAnsi="宋体" w:cs="宋体"/>
          <w:kern w:val="0"/>
          <w:sz w:val="24"/>
          <w:szCs w:val="22"/>
          <w:highlight w:val="yellow"/>
          <w:u w:val="single"/>
          <w:lang w:val="en-US" w:eastAsia="zh-CN"/>
        </w:rPr>
        <w:t>陆</w:t>
      </w:r>
      <w:r>
        <w:rPr>
          <w:rFonts w:hint="eastAsia" w:ascii="宋体" w:hAnsi="宋体" w:cs="宋体"/>
          <w:kern w:val="0"/>
          <w:sz w:val="24"/>
          <w:szCs w:val="22"/>
          <w:highlight w:val="yellow"/>
          <w:u w:val="single"/>
        </w:rPr>
        <w:t>份，乙方</w:t>
      </w:r>
      <w:r>
        <w:rPr>
          <w:rFonts w:hint="eastAsia" w:ascii="宋体" w:hAnsi="宋体" w:cs="宋体"/>
          <w:kern w:val="0"/>
          <w:sz w:val="24"/>
          <w:szCs w:val="22"/>
          <w:highlight w:val="yellow"/>
          <w:u w:val="single"/>
          <w:lang w:val="en-US" w:eastAsia="zh-CN"/>
        </w:rPr>
        <w:t>贰</w:t>
      </w:r>
      <w:r>
        <w:rPr>
          <w:rFonts w:hint="eastAsia" w:ascii="宋体" w:hAnsi="宋体" w:cs="宋体"/>
          <w:kern w:val="0"/>
          <w:sz w:val="24"/>
          <w:szCs w:val="22"/>
          <w:highlight w:val="yellow"/>
          <w:u w:val="single"/>
        </w:rPr>
        <w:t>份＿</w:t>
      </w:r>
      <w:r>
        <w:rPr>
          <w:rFonts w:hint="eastAsia" w:ascii="宋体" w:hAnsi="宋体" w:cs="宋体"/>
          <w:kern w:val="0"/>
          <w:sz w:val="24"/>
          <w:szCs w:val="22"/>
          <w:u w:val="single"/>
        </w:rPr>
        <w:t>＿＿</w:t>
      </w:r>
    </w:p>
    <w:p>
      <w:pPr>
        <w:widowControl/>
        <w:shd w:val="clear" w:color="auto" w:fill="FFFFFF"/>
        <w:spacing w:line="330" w:lineRule="atLeast"/>
        <w:jc w:val="left"/>
        <w:rPr>
          <w:rFonts w:ascii="宋体" w:hAnsi="宋体" w:cs="宋体"/>
          <w:kern w:val="0"/>
          <w:sz w:val="24"/>
          <w:u w:val="single"/>
        </w:rPr>
      </w:pPr>
      <w:r>
        <w:rPr>
          <w:rFonts w:ascii="宋体" w:hAnsi="宋体" w:cs="宋体"/>
          <w:kern w:val="0"/>
          <w:sz w:val="24"/>
        </w:rPr>
        <w:t>　　47.补充条款</w:t>
      </w:r>
      <w:r>
        <w:rPr>
          <w:rFonts w:hint="eastAsia" w:ascii="宋体" w:hAnsi="宋体" w:cs="宋体"/>
          <w:kern w:val="0"/>
          <w:sz w:val="24"/>
          <w:u w:val="single"/>
        </w:rPr>
        <w:t>1、本工程根据固定综合单价，工程量采用按实结算的方法。2、</w:t>
      </w:r>
      <w:r>
        <w:rPr>
          <w:rFonts w:ascii="宋体" w:hAnsi="宋体" w:cs="宋体"/>
          <w:kern w:val="0"/>
          <w:sz w:val="24"/>
          <w:u w:val="single"/>
        </w:rPr>
        <w:t xml:space="preserve">进场前工人必须体检，持有健康证的工人才能进场施工。          </w:t>
      </w:r>
    </w:p>
    <w:p>
      <w:pPr>
        <w:widowControl/>
        <w:shd w:val="clear" w:color="auto" w:fill="FFFFFF"/>
        <w:spacing w:line="330" w:lineRule="atLeast"/>
        <w:ind w:firstLine="480" w:firstLineChars="200"/>
        <w:jc w:val="left"/>
        <w:rPr>
          <w:rFonts w:hint="eastAsia" w:ascii="宋体" w:hAnsi="宋体" w:cs="宋体"/>
          <w:kern w:val="0"/>
          <w:sz w:val="24"/>
          <w:u w:val="single"/>
        </w:rPr>
      </w:pPr>
      <w:r>
        <w:rPr>
          <w:rFonts w:hint="eastAsia" w:ascii="宋体" w:hAnsi="宋体" w:cs="宋体"/>
          <w:kern w:val="0"/>
          <w:sz w:val="24"/>
          <w:u w:val="single"/>
        </w:rPr>
        <w:t>3、</w:t>
      </w:r>
      <w:r>
        <w:rPr>
          <w:rFonts w:ascii="宋体" w:hAnsi="宋体" w:cs="宋体"/>
          <w:kern w:val="0"/>
          <w:sz w:val="24"/>
          <w:u w:val="single"/>
        </w:rPr>
        <w:t>承包人及时支付材料款和农民工工资，不得拖欠，否则发包人有权直接支付，并从工程款中扣除。</w:t>
      </w:r>
    </w:p>
    <w:p>
      <w:pPr>
        <w:widowControl/>
        <w:shd w:val="clear" w:color="auto" w:fill="FFFFFF"/>
        <w:spacing w:line="330" w:lineRule="atLeast"/>
        <w:ind w:firstLine="480" w:firstLineChars="200"/>
        <w:jc w:val="left"/>
        <w:rPr>
          <w:rFonts w:hint="eastAsia" w:ascii="宋体" w:hAnsi="宋体" w:cs="宋体"/>
          <w:kern w:val="0"/>
          <w:sz w:val="24"/>
          <w:u w:val="single"/>
        </w:rPr>
      </w:pPr>
      <w:r>
        <w:rPr>
          <w:rFonts w:hint="eastAsia" w:ascii="宋体" w:hAnsi="宋体" w:cs="宋体"/>
          <w:kern w:val="0"/>
          <w:sz w:val="24"/>
          <w:u w:val="single"/>
        </w:rPr>
        <w:t>4、</w:t>
      </w:r>
      <w:r>
        <w:rPr>
          <w:rFonts w:hint="eastAsia" w:ascii="宋体" w:hAnsi="宋体"/>
          <w:sz w:val="24"/>
          <w:szCs w:val="24"/>
          <w:u w:val="single"/>
        </w:rPr>
        <w:t>单项工程前期技术服务费用（施工方案、询价控制价、询价清单等编制）由成交单位支付，支付时间为成交后10个工作日内。</w:t>
      </w:r>
    </w:p>
    <w:p>
      <w:pPr>
        <w:widowControl/>
        <w:shd w:val="clear" w:color="auto" w:fill="FFFFFF"/>
        <w:spacing w:line="330" w:lineRule="atLeast"/>
        <w:ind w:firstLine="472" w:firstLineChars="196"/>
        <w:jc w:val="left"/>
        <w:rPr>
          <w:rFonts w:hint="eastAsia" w:ascii="宋体" w:hAnsi="宋体" w:cs="宋体"/>
          <w:b/>
          <w:kern w:val="0"/>
          <w:sz w:val="24"/>
          <w:u w:val="single"/>
        </w:rPr>
      </w:pPr>
      <w:r>
        <w:rPr>
          <w:rFonts w:hint="eastAsia" w:ascii="宋体" w:hAnsi="宋体" w:cs="宋体"/>
          <w:b/>
          <w:kern w:val="0"/>
          <w:sz w:val="24"/>
          <w:u w:val="single"/>
        </w:rPr>
        <w:t>5、按规定竣工日期完成项目，每推迟一天，罚款3000元。</w:t>
      </w:r>
    </w:p>
    <w:p>
      <w:pPr>
        <w:pStyle w:val="20"/>
        <w:spacing w:before="156" w:beforeLines="50" w:beforeAutospacing="0" w:after="156" w:afterLines="50" w:afterAutospacing="0" w:line="400" w:lineRule="exact"/>
        <w:ind w:firstLine="480" w:firstLineChars="200"/>
        <w:rPr>
          <w:rFonts w:hint="eastAsia" w:eastAsia="宋体"/>
          <w:lang w:eastAsia="zh-CN"/>
        </w:rPr>
      </w:pPr>
      <w:r>
        <w:rPr>
          <w:rFonts w:hint="eastAsia"/>
        </w:rPr>
        <w:t>6、高校建设项目结算审计，应按下列规定支付审计费用：</w:t>
      </w:r>
    </w:p>
    <w:p>
      <w:pPr>
        <w:pStyle w:val="20"/>
        <w:spacing w:before="156" w:beforeLines="50" w:beforeAutospacing="0" w:after="156" w:afterLines="50" w:afterAutospacing="0" w:line="400" w:lineRule="exact"/>
        <w:ind w:firstLine="480" w:firstLineChars="200"/>
        <w:rPr>
          <w:rFonts w:hint="eastAsia"/>
          <w:highlight w:val="yellow"/>
        </w:rPr>
      </w:pPr>
      <w:r>
        <w:rPr>
          <w:rFonts w:hint="eastAsia"/>
          <w:highlight w:val="yellow"/>
        </w:rPr>
        <w:t>（一）核减率〔（送审金额-结算审定金额）/送审金额*100%〕大于5%的建设工程项目，审计费由施工单位全额承担；</w:t>
      </w:r>
    </w:p>
    <w:p>
      <w:pPr>
        <w:pStyle w:val="20"/>
        <w:spacing w:before="156" w:beforeLines="50" w:beforeAutospacing="0" w:after="156" w:afterLines="50" w:afterAutospacing="0" w:line="400" w:lineRule="exact"/>
        <w:ind w:firstLine="480" w:firstLineChars="200"/>
        <w:rPr>
          <w:rFonts w:hint="eastAsia"/>
          <w:highlight w:val="yellow"/>
        </w:rPr>
      </w:pPr>
      <w:r>
        <w:rPr>
          <w:rFonts w:hint="eastAsia"/>
          <w:highlight w:val="yellow"/>
        </w:rPr>
        <w:t>（二）核减率小于5%（含）的建设工程项目，审计费由学校全额承担；</w:t>
      </w:r>
    </w:p>
    <w:p>
      <w:pPr>
        <w:pStyle w:val="20"/>
        <w:spacing w:before="156" w:beforeLines="50" w:beforeAutospacing="0" w:after="156" w:afterLines="50" w:afterAutospacing="0" w:line="400" w:lineRule="exact"/>
        <w:ind w:firstLine="480" w:firstLineChars="200"/>
        <w:rPr>
          <w:rFonts w:hint="eastAsia"/>
          <w:highlight w:val="yellow"/>
        </w:rPr>
      </w:pPr>
      <w:r>
        <w:rPr>
          <w:rFonts w:hint="eastAsia"/>
          <w:highlight w:val="yellow"/>
        </w:rPr>
        <w:t>（三）同一施工单位发生单项工程核减率超过15%的次数达到2次的，将列入学校施工供应单位黑名单，不得再参与学校其他工程项目建设。</w:t>
      </w:r>
    </w:p>
    <w:p>
      <w:pPr>
        <w:pStyle w:val="20"/>
        <w:spacing w:before="156" w:beforeLines="50" w:beforeAutospacing="0" w:after="156" w:afterLines="50" w:afterAutospacing="0" w:line="400" w:lineRule="exact"/>
        <w:ind w:firstLine="480" w:firstLineChars="200"/>
        <w:rPr>
          <w:rFonts w:hint="eastAsia" w:eastAsia="宋体"/>
          <w:lang w:eastAsia="zh-CN"/>
        </w:rPr>
      </w:pPr>
      <w:r>
        <w:rPr>
          <w:rFonts w:hint="eastAsia"/>
          <w:highlight w:val="yellow"/>
        </w:rPr>
        <w:t>核减率按审计最终核定额与施工单位申报的结算额之间的差额计算。</w:t>
      </w:r>
    </w:p>
    <w:p>
      <w:pPr>
        <w:pStyle w:val="20"/>
        <w:spacing w:before="156" w:beforeLines="50" w:beforeAutospacing="0" w:after="156" w:afterLines="50" w:afterAutospacing="0" w:line="400" w:lineRule="exact"/>
        <w:ind w:firstLine="480" w:firstLineChars="200"/>
      </w:pPr>
      <w:r>
        <w:rPr>
          <w:rFonts w:hint="eastAsia"/>
        </w:rPr>
        <w:t xml:space="preserve">    7、主材必须严格选用优质、环保、无腐蚀性产品，材料进场提供产品合格证并办理材料报验手续；施工规范符合现行国家规范；工程质量要求为：合格。</w:t>
      </w:r>
    </w:p>
    <w:p>
      <w:pPr>
        <w:spacing w:before="156" w:beforeLines="50" w:after="156" w:afterLines="50" w:line="400" w:lineRule="exact"/>
        <w:ind w:firstLine="480" w:firstLineChars="200"/>
        <w:rPr>
          <w:rFonts w:ascii="宋体" w:hAnsi="宋体"/>
          <w:sz w:val="24"/>
          <w:szCs w:val="24"/>
        </w:rPr>
      </w:pPr>
      <w:r>
        <w:rPr>
          <w:rFonts w:hint="eastAsia" w:ascii="宋体" w:hAnsi="宋体"/>
          <w:sz w:val="24"/>
          <w:szCs w:val="24"/>
        </w:rPr>
        <w:t>8、现场管理及安全责任：施工单位根据现行国家工程质量检验标准和现场实际情况，按国家有关规定派驻具有相应资质的项目经理，加强施工管理，因质量和安全问题造成的一切责任和损失均由施工单位负责。</w:t>
      </w:r>
    </w:p>
    <w:p>
      <w:pPr>
        <w:spacing w:before="156" w:beforeLines="50" w:after="156" w:afterLines="50" w:line="400" w:lineRule="exact"/>
        <w:ind w:firstLine="480" w:firstLineChars="200"/>
        <w:rPr>
          <w:rFonts w:ascii="宋体" w:hAnsi="宋体"/>
          <w:sz w:val="24"/>
          <w:szCs w:val="24"/>
          <w:u w:val="single"/>
        </w:rPr>
      </w:pPr>
      <w:r>
        <w:rPr>
          <w:rFonts w:hint="eastAsia" w:ascii="宋体" w:hAnsi="宋体"/>
          <w:sz w:val="24"/>
          <w:szCs w:val="24"/>
        </w:rPr>
        <w:t>9、主材检测：业主可随时对工程主要材料选择送检，检测费用包含在响应价内，</w:t>
      </w:r>
      <w:r>
        <w:rPr>
          <w:rFonts w:hint="eastAsia" w:ascii="宋体" w:hAnsi="宋体"/>
          <w:b/>
          <w:sz w:val="24"/>
          <w:szCs w:val="24"/>
          <w:u w:val="single"/>
        </w:rPr>
        <w:t>如发现以次充好或不合格材料，除及时更换合格产品外，每发现一处扣罚款2000元。</w:t>
      </w:r>
    </w:p>
    <w:p>
      <w:pPr>
        <w:spacing w:before="156" w:beforeLines="50" w:after="156" w:afterLines="50" w:line="400" w:lineRule="exact"/>
        <w:ind w:firstLine="480" w:firstLineChars="200"/>
        <w:rPr>
          <w:rFonts w:hint="eastAsia" w:ascii="宋体" w:hAnsi="宋体"/>
          <w:sz w:val="24"/>
          <w:szCs w:val="24"/>
        </w:rPr>
      </w:pPr>
      <w:r>
        <w:rPr>
          <w:rFonts w:hint="eastAsia" w:ascii="宋体" w:hAnsi="宋体"/>
          <w:sz w:val="24"/>
          <w:szCs w:val="24"/>
        </w:rPr>
        <w:t>10、主要材料进场须经业主确认。</w:t>
      </w:r>
    </w:p>
    <w:p>
      <w:pPr>
        <w:spacing w:before="156" w:beforeLines="50" w:after="156" w:afterLines="50" w:line="400" w:lineRule="exact"/>
        <w:ind w:firstLine="480" w:firstLineChars="200"/>
        <w:rPr>
          <w:rFonts w:hint="eastAsia" w:ascii="宋体" w:hAnsi="宋体"/>
          <w:sz w:val="24"/>
          <w:szCs w:val="24"/>
        </w:rPr>
      </w:pPr>
      <w:r>
        <w:rPr>
          <w:rFonts w:hint="eastAsia" w:ascii="宋体" w:hAnsi="宋体"/>
          <w:sz w:val="24"/>
          <w:szCs w:val="24"/>
        </w:rPr>
        <w:t>11、图纸设计若有不符合现行规范、规定、标准等或其他不到位之处，施工单位必须提出，待业主确认后再施工，否则因此造成的质量事故由施工单位承担。</w:t>
      </w:r>
    </w:p>
    <w:p>
      <w:pPr>
        <w:spacing w:before="156" w:beforeLines="50" w:after="156" w:afterLines="50" w:line="400" w:lineRule="exact"/>
        <w:ind w:firstLine="480" w:firstLineChars="200"/>
        <w:rPr>
          <w:rFonts w:hint="eastAsia" w:ascii="宋体" w:hAnsi="宋体"/>
          <w:sz w:val="24"/>
          <w:szCs w:val="24"/>
        </w:rPr>
      </w:pPr>
      <w:r>
        <w:rPr>
          <w:rFonts w:hint="eastAsia" w:ascii="宋体" w:hAnsi="宋体"/>
          <w:sz w:val="24"/>
          <w:szCs w:val="24"/>
        </w:rPr>
        <w:t>12、隐蔽工程或部位必须报甲方同意后，方可进入下一步工序并自行留存相关资料，否则结算不予承认。</w:t>
      </w:r>
    </w:p>
    <w:p>
      <w:pPr>
        <w:spacing w:before="156" w:beforeLines="50" w:after="156" w:afterLines="50" w:line="400" w:lineRule="exact"/>
        <w:ind w:firstLine="482" w:firstLineChars="200"/>
        <w:rPr>
          <w:rFonts w:hint="eastAsia" w:ascii="宋体" w:hAnsi="宋体"/>
          <w:b/>
          <w:sz w:val="24"/>
          <w:szCs w:val="24"/>
          <w:u w:val="single"/>
        </w:rPr>
      </w:pPr>
      <w:r>
        <w:rPr>
          <w:rFonts w:hint="eastAsia" w:ascii="宋体" w:hAnsi="宋体"/>
          <w:b/>
          <w:sz w:val="24"/>
          <w:szCs w:val="24"/>
          <w:u w:val="single"/>
        </w:rPr>
        <w:t>13、施工管理中，未按规定要求（安全文明施工、质量标准等方面）进行施工、管理的，罚款300-500元/次。</w:t>
      </w:r>
    </w:p>
    <w:p>
      <w:pPr>
        <w:spacing w:before="156" w:beforeLines="50" w:after="156" w:afterLines="50" w:line="400" w:lineRule="exact"/>
        <w:ind w:firstLine="482" w:firstLineChars="200"/>
        <w:rPr>
          <w:rFonts w:hint="eastAsia" w:ascii="宋体" w:hAnsi="宋体"/>
          <w:b/>
          <w:sz w:val="24"/>
          <w:szCs w:val="24"/>
          <w:u w:val="single"/>
        </w:rPr>
      </w:pPr>
    </w:p>
    <w:p>
      <w:pPr>
        <w:tabs>
          <w:tab w:val="left" w:pos="3542"/>
        </w:tabs>
        <w:spacing w:line="360" w:lineRule="auto"/>
        <w:rPr>
          <w:rFonts w:ascii="宋体" w:hAnsi="宋体"/>
        </w:rPr>
      </w:pPr>
    </w:p>
    <w:p>
      <w:pPr>
        <w:tabs>
          <w:tab w:val="left" w:pos="3542"/>
        </w:tabs>
        <w:spacing w:line="360" w:lineRule="auto"/>
        <w:rPr>
          <w:rFonts w:ascii="宋体" w:hAnsi="宋体"/>
        </w:rPr>
      </w:pPr>
    </w:p>
    <w:p>
      <w:pPr>
        <w:tabs>
          <w:tab w:val="left" w:pos="0"/>
          <w:tab w:val="left" w:pos="993"/>
          <w:tab w:val="left" w:pos="1134"/>
        </w:tabs>
        <w:adjustRightInd w:val="0"/>
        <w:snapToGrid w:val="0"/>
        <w:spacing w:line="360" w:lineRule="auto"/>
        <w:ind w:firstLine="502" w:firstLineChars="201"/>
        <w:rPr>
          <w:rFonts w:ascii="宋体" w:hAnsi="宋体"/>
          <w:b/>
          <w:spacing w:val="5"/>
          <w:sz w:val="24"/>
        </w:rPr>
      </w:pPr>
      <w:r>
        <w:rPr>
          <w:rFonts w:ascii="宋体" w:hAnsi="宋体"/>
          <w:bCs/>
          <w:spacing w:val="5"/>
          <w:sz w:val="24"/>
        </w:rPr>
        <w:br w:type="page"/>
      </w:r>
      <w:r>
        <w:rPr>
          <w:rFonts w:hint="eastAsia" w:ascii="宋体" w:hAnsi="宋体"/>
          <w:bCs/>
          <w:spacing w:val="5"/>
          <w:sz w:val="24"/>
        </w:rPr>
        <w:t>附件2</w:t>
      </w:r>
    </w:p>
    <w:p>
      <w:pPr>
        <w:spacing w:line="360" w:lineRule="auto"/>
        <w:ind w:firstLine="747" w:firstLineChars="201"/>
        <w:jc w:val="center"/>
        <w:rPr>
          <w:rFonts w:ascii="宋体" w:hAnsi="宋体"/>
          <w:b/>
          <w:spacing w:val="5"/>
          <w:sz w:val="36"/>
          <w:szCs w:val="36"/>
        </w:rPr>
      </w:pPr>
      <w:r>
        <w:rPr>
          <w:rFonts w:hint="eastAsia" w:ascii="宋体" w:hAnsi="宋体"/>
          <w:b/>
          <w:spacing w:val="5"/>
          <w:sz w:val="36"/>
          <w:szCs w:val="36"/>
        </w:rPr>
        <w:t>安全生产责任承诺书</w:t>
      </w:r>
    </w:p>
    <w:p>
      <w:pPr>
        <w:spacing w:line="360" w:lineRule="auto"/>
        <w:ind w:firstLine="502" w:firstLineChars="201"/>
        <w:rPr>
          <w:rFonts w:ascii="宋体" w:hAnsi="宋体"/>
          <w:bCs/>
          <w:spacing w:val="5"/>
          <w:sz w:val="24"/>
        </w:rPr>
      </w:pPr>
    </w:p>
    <w:p>
      <w:pPr>
        <w:spacing w:line="360" w:lineRule="auto"/>
        <w:ind w:firstLine="484" w:firstLineChars="201"/>
        <w:rPr>
          <w:rFonts w:ascii="宋体" w:hAnsi="宋体"/>
          <w:bCs/>
          <w:spacing w:val="5"/>
          <w:sz w:val="24"/>
        </w:rPr>
      </w:pPr>
      <w:r>
        <w:rPr>
          <w:rFonts w:hint="eastAsia" w:ascii="宋体" w:hAnsi="宋体" w:cs="宋体"/>
          <w:b/>
          <w:bCs/>
          <w:sz w:val="24"/>
          <w:u w:val="single"/>
        </w:rPr>
        <w:t>南京交通职业技术学院</w:t>
      </w:r>
      <w:r>
        <w:rPr>
          <w:rFonts w:hint="eastAsia" w:ascii="宋体" w:hAnsi="宋体"/>
          <w:bCs/>
          <w:spacing w:val="5"/>
          <w:sz w:val="24"/>
        </w:rPr>
        <w:t>：</w:t>
      </w:r>
    </w:p>
    <w:p>
      <w:pPr>
        <w:spacing w:line="360" w:lineRule="auto"/>
        <w:ind w:firstLine="502" w:firstLineChars="201"/>
        <w:rPr>
          <w:rFonts w:ascii="宋体" w:hAnsi="宋体"/>
          <w:sz w:val="24"/>
        </w:rPr>
      </w:pPr>
      <w:r>
        <w:rPr>
          <w:rFonts w:hint="eastAsia" w:ascii="宋体" w:hAnsi="宋体"/>
          <w:bCs/>
          <w:spacing w:val="5"/>
          <w:sz w:val="24"/>
        </w:rPr>
        <w:t>我现向贵校承诺，我公司在</w:t>
      </w:r>
      <w:r>
        <w:rPr>
          <w:rFonts w:hint="eastAsia" w:ascii="宋体" w:hAnsi="宋体"/>
          <w:sz w:val="24"/>
        </w:rPr>
        <w:t>施工</w:t>
      </w:r>
      <w:r>
        <w:rPr>
          <w:rFonts w:hint="eastAsia" w:ascii="宋体" w:hAnsi="宋体"/>
          <w:bCs/>
          <w:spacing w:val="5"/>
          <w:sz w:val="24"/>
        </w:rPr>
        <w:t>过程中，保证不发生重大人员伤亡事故，在此工程施工过程中所发生的一切工伤事故，或安全事故，均由我公司承担一切责任。</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承诺单位（公章）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法定代表人（签字或盖章）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代理人（签字或盖章）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rPr>
      </w:pPr>
      <w:r>
        <w:rPr>
          <w:rFonts w:hint="eastAsia" w:ascii="宋体" w:hAnsi="宋体"/>
          <w:bCs/>
          <w:spacing w:val="5"/>
          <w:sz w:val="24"/>
        </w:rPr>
        <w:t>日期：     年   月   日</w:t>
      </w:r>
    </w:p>
    <w:p>
      <w:pPr>
        <w:tabs>
          <w:tab w:val="left" w:pos="0"/>
          <w:tab w:val="left" w:pos="993"/>
          <w:tab w:val="left" w:pos="1134"/>
        </w:tabs>
        <w:adjustRightInd w:val="0"/>
        <w:snapToGrid w:val="0"/>
        <w:spacing w:line="360" w:lineRule="auto"/>
        <w:ind w:firstLine="482" w:firstLineChars="201"/>
        <w:rPr>
          <w:rFonts w:ascii="宋体" w:hAnsi="宋体"/>
          <w:bCs/>
          <w:snapToGrid w:val="0"/>
          <w:sz w:val="24"/>
        </w:rPr>
      </w:pPr>
      <w:r>
        <w:rPr>
          <w:rFonts w:hint="eastAsia" w:ascii="宋体" w:hAnsi="宋体"/>
          <w:bCs/>
          <w:snapToGrid w:val="0"/>
          <w:sz w:val="24"/>
        </w:rPr>
        <w:br w:type="page"/>
      </w:r>
      <w:r>
        <w:rPr>
          <w:rFonts w:hint="eastAsia" w:ascii="宋体" w:hAnsi="宋体"/>
          <w:bCs/>
          <w:snapToGrid w:val="0"/>
          <w:sz w:val="24"/>
        </w:rPr>
        <w:t>附件3</w:t>
      </w:r>
    </w:p>
    <w:p>
      <w:pPr>
        <w:spacing w:line="360" w:lineRule="auto"/>
        <w:ind w:firstLine="747" w:firstLineChars="201"/>
        <w:jc w:val="center"/>
        <w:rPr>
          <w:rFonts w:ascii="宋体" w:hAnsi="宋体"/>
          <w:b/>
          <w:spacing w:val="5"/>
          <w:sz w:val="36"/>
          <w:szCs w:val="36"/>
        </w:rPr>
      </w:pPr>
      <w:r>
        <w:rPr>
          <w:rFonts w:hint="eastAsia" w:ascii="宋体" w:hAnsi="宋体"/>
          <w:b/>
          <w:spacing w:val="5"/>
          <w:sz w:val="36"/>
          <w:szCs w:val="36"/>
        </w:rPr>
        <w:t>不拖欠民工工资承诺书</w:t>
      </w:r>
    </w:p>
    <w:p>
      <w:pPr>
        <w:spacing w:line="360" w:lineRule="auto"/>
        <w:ind w:firstLine="484" w:firstLineChars="201"/>
        <w:rPr>
          <w:rFonts w:ascii="宋体" w:hAnsi="宋体"/>
          <w:bCs/>
          <w:spacing w:val="5"/>
          <w:sz w:val="24"/>
        </w:rPr>
      </w:pPr>
      <w:r>
        <w:rPr>
          <w:rFonts w:hint="eastAsia" w:ascii="宋体" w:hAnsi="宋体" w:cs="宋体"/>
          <w:b/>
          <w:bCs/>
          <w:sz w:val="24"/>
          <w:u w:val="single"/>
        </w:rPr>
        <w:t>南京交通职业技术学院</w:t>
      </w:r>
      <w:r>
        <w:rPr>
          <w:rFonts w:hint="eastAsia" w:ascii="宋体" w:hAnsi="宋体"/>
          <w:bCs/>
          <w:spacing w:val="5"/>
          <w:sz w:val="24"/>
        </w:rPr>
        <w:t>：</w:t>
      </w:r>
    </w:p>
    <w:p>
      <w:pPr>
        <w:tabs>
          <w:tab w:val="left" w:pos="0"/>
          <w:tab w:val="left" w:pos="993"/>
          <w:tab w:val="left" w:pos="1134"/>
        </w:tabs>
        <w:adjustRightInd w:val="0"/>
        <w:snapToGrid w:val="0"/>
        <w:spacing w:line="360" w:lineRule="auto"/>
        <w:ind w:firstLine="502" w:firstLineChars="201"/>
        <w:rPr>
          <w:rFonts w:ascii="宋体" w:hAnsi="宋体"/>
          <w:sz w:val="24"/>
        </w:rPr>
      </w:pPr>
      <w:r>
        <w:rPr>
          <w:rFonts w:hint="eastAsia" w:ascii="宋体" w:hAnsi="宋体"/>
          <w:bCs/>
          <w:spacing w:val="5"/>
          <w:sz w:val="24"/>
        </w:rPr>
        <w:t>我现向贵校承诺，我公司在</w:t>
      </w:r>
      <w:r>
        <w:rPr>
          <w:rFonts w:hint="eastAsia" w:ascii="宋体" w:hAnsi="宋体" w:cs="宋体"/>
          <w:bCs/>
          <w:sz w:val="24"/>
        </w:rPr>
        <w:t>项目</w:t>
      </w:r>
      <w:r>
        <w:rPr>
          <w:rFonts w:hint="eastAsia" w:ascii="宋体" w:hAnsi="宋体"/>
          <w:sz w:val="24"/>
        </w:rPr>
        <w:t>施工</w:t>
      </w:r>
      <w:r>
        <w:rPr>
          <w:rFonts w:hint="eastAsia" w:ascii="宋体" w:hAnsi="宋体"/>
          <w:bCs/>
          <w:spacing w:val="5"/>
          <w:sz w:val="24"/>
        </w:rPr>
        <w:t>过程中</w:t>
      </w:r>
      <w:r>
        <w:rPr>
          <w:rFonts w:hint="eastAsia" w:ascii="宋体" w:hAnsi="宋体"/>
          <w:sz w:val="24"/>
        </w:rPr>
        <w:t>，在工程实施期间及竣工验收后，保证按时按期足额支付所有建筑工人及民工工资，如有违反，将承担由此发生的和可能带来的一切后果和费用。</w:t>
      </w:r>
    </w:p>
    <w:p>
      <w:pPr>
        <w:tabs>
          <w:tab w:val="left" w:pos="0"/>
          <w:tab w:val="left" w:pos="993"/>
          <w:tab w:val="left" w:pos="1134"/>
        </w:tabs>
        <w:adjustRightInd w:val="0"/>
        <w:snapToGrid w:val="0"/>
        <w:spacing w:line="360" w:lineRule="auto"/>
        <w:ind w:firstLine="482" w:firstLineChars="201"/>
        <w:rPr>
          <w:rFonts w:ascii="宋体" w:hAnsi="宋体"/>
          <w:sz w:val="24"/>
        </w:rPr>
      </w:pPr>
      <w:r>
        <w:rPr>
          <w:rFonts w:hint="eastAsia" w:ascii="宋体" w:hAnsi="宋体"/>
          <w:sz w:val="24"/>
        </w:rPr>
        <w:t>特此承诺！</w:t>
      </w:r>
    </w:p>
    <w:p>
      <w:pPr>
        <w:tabs>
          <w:tab w:val="left" w:pos="0"/>
          <w:tab w:val="left" w:pos="993"/>
          <w:tab w:val="left" w:pos="1134"/>
        </w:tabs>
        <w:adjustRightInd w:val="0"/>
        <w:snapToGrid w:val="0"/>
        <w:spacing w:line="360" w:lineRule="auto"/>
        <w:ind w:firstLine="484" w:firstLineChars="201"/>
        <w:jc w:val="center"/>
        <w:rPr>
          <w:rFonts w:ascii="宋体" w:hAnsi="宋体"/>
          <w:b/>
          <w:snapToGrid w:val="0"/>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承诺单位（公章）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法定代表人（签字或盖章）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u w:val="single"/>
        </w:rPr>
      </w:pPr>
      <w:r>
        <w:rPr>
          <w:rFonts w:hint="eastAsia" w:ascii="宋体" w:hAnsi="宋体"/>
          <w:bCs/>
          <w:spacing w:val="5"/>
          <w:sz w:val="24"/>
        </w:rPr>
        <w:t>代理人（签字或盖章）</w:t>
      </w:r>
    </w:p>
    <w:p>
      <w:pPr>
        <w:spacing w:line="360" w:lineRule="auto"/>
        <w:ind w:firstLine="502" w:firstLineChars="201"/>
        <w:rPr>
          <w:rFonts w:ascii="宋体" w:hAnsi="宋体"/>
          <w:bCs/>
          <w:spacing w:val="5"/>
          <w:sz w:val="24"/>
        </w:rPr>
      </w:pPr>
    </w:p>
    <w:p>
      <w:pPr>
        <w:spacing w:line="360" w:lineRule="auto"/>
        <w:ind w:firstLine="502" w:firstLineChars="201"/>
        <w:rPr>
          <w:rFonts w:ascii="宋体" w:hAnsi="宋体"/>
          <w:bCs/>
          <w:spacing w:val="5"/>
          <w:sz w:val="24"/>
        </w:rPr>
      </w:pPr>
      <w:r>
        <w:rPr>
          <w:rFonts w:hint="eastAsia" w:ascii="宋体" w:hAnsi="宋体"/>
          <w:bCs/>
          <w:spacing w:val="5"/>
          <w:sz w:val="24"/>
        </w:rPr>
        <w:t>日期：       年   月   日</w:t>
      </w:r>
    </w:p>
    <w:p>
      <w:pPr>
        <w:spacing w:line="360" w:lineRule="auto"/>
        <w:ind w:firstLine="502" w:firstLineChars="201"/>
        <w:rPr>
          <w:rFonts w:ascii="宋体" w:hAnsi="宋体"/>
          <w:bCs/>
          <w:spacing w:val="5"/>
          <w:sz w:val="24"/>
        </w:rPr>
      </w:pPr>
    </w:p>
    <w:p>
      <w:pPr>
        <w:rPr>
          <w:rFonts w:ascii="黑体" w:eastAsia="黑体"/>
          <w:color w:val="000000" w:themeColor="text1"/>
          <w:sz w:val="36"/>
          <w:szCs w:val="36"/>
          <w:lang w:val="zh-CN"/>
          <w14:textFill>
            <w14:solidFill>
              <w14:schemeClr w14:val="tx1"/>
            </w14:solidFill>
          </w14:textFill>
        </w:rPr>
      </w:pPr>
    </w:p>
    <w:p>
      <w:pPr>
        <w:rPr>
          <w:rFonts w:ascii="黑体" w:eastAsia="黑体"/>
          <w:color w:val="000000" w:themeColor="text1"/>
          <w:sz w:val="36"/>
          <w:szCs w:val="36"/>
          <w:lang w:val="zh-CN"/>
          <w14:textFill>
            <w14:solidFill>
              <w14:schemeClr w14:val="tx1"/>
            </w14:solidFill>
          </w14:textFill>
        </w:rPr>
      </w:pPr>
    </w:p>
    <w:p>
      <w:pPr>
        <w:rPr>
          <w:rFonts w:ascii="黑体" w:eastAsia="黑体"/>
          <w:color w:val="000000" w:themeColor="text1"/>
          <w:sz w:val="36"/>
          <w:szCs w:val="36"/>
          <w:lang w:val="zh-CN"/>
          <w14:textFill>
            <w14:solidFill>
              <w14:schemeClr w14:val="tx1"/>
            </w14:solidFill>
          </w14:textFill>
        </w:rPr>
      </w:pPr>
    </w:p>
    <w:p>
      <w:pPr>
        <w:numPr>
          <w:ilvl w:val="0"/>
          <w:numId w:val="0"/>
        </w:numPr>
        <w:rPr>
          <w:rFonts w:hint="eastAsia"/>
          <w:lang w:val="en-US" w:eastAsia="zh-CN"/>
        </w:rPr>
      </w:pPr>
    </w:p>
    <w:p>
      <w:pPr>
        <w:pStyle w:val="40"/>
        <w:numPr>
          <w:ilvl w:val="0"/>
          <w:numId w:val="0"/>
        </w:numPr>
        <w:jc w:val="center"/>
        <w:rPr>
          <w:rFonts w:hint="eastAsia" w:ascii="楷体" w:hAnsi="楷体" w:eastAsia="楷体" w:cs="楷体"/>
          <w:b/>
          <w:bCs/>
          <w:lang w:val="en-US" w:eastAsia="zh-CN"/>
        </w:rPr>
      </w:pPr>
      <w:bookmarkStart w:id="110" w:name="_Toc30495"/>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lang w:val="en-US" w:eastAsia="zh-CN"/>
        </w:rPr>
      </w:pPr>
    </w:p>
    <w:p>
      <w:pPr>
        <w:pStyle w:val="40"/>
        <w:numPr>
          <w:ilvl w:val="0"/>
          <w:numId w:val="0"/>
        </w:numPr>
        <w:jc w:val="center"/>
        <w:rPr>
          <w:rFonts w:hint="eastAsia" w:ascii="楷体" w:hAnsi="楷体" w:eastAsia="楷体" w:cs="楷体"/>
          <w:b/>
          <w:bCs/>
        </w:rPr>
      </w:pPr>
      <w:r>
        <w:rPr>
          <w:rFonts w:hint="eastAsia" w:ascii="楷体" w:hAnsi="楷体" w:eastAsia="楷体" w:cs="楷体"/>
          <w:b/>
          <w:bCs/>
          <w:lang w:val="en-US" w:eastAsia="zh-CN"/>
        </w:rPr>
        <w:t>七、</w:t>
      </w:r>
      <w:r>
        <w:rPr>
          <w:rFonts w:hint="eastAsia" w:ascii="楷体" w:hAnsi="楷体" w:eastAsia="楷体" w:cs="楷体"/>
          <w:b/>
          <w:bCs/>
        </w:rPr>
        <w:t>相关附表格式</w:t>
      </w:r>
      <w:bookmarkEnd w:id="88"/>
      <w:bookmarkEnd w:id="89"/>
      <w:bookmarkEnd w:id="90"/>
      <w:bookmarkEnd w:id="109"/>
      <w:bookmarkEnd w:id="110"/>
      <w:bookmarkStart w:id="111" w:name="_Toc30587"/>
    </w:p>
    <w:p>
      <w:pPr>
        <w:pStyle w:val="40"/>
        <w:numPr>
          <w:ilvl w:val="0"/>
          <w:numId w:val="0"/>
        </w:numPr>
        <w:rPr>
          <w:rFonts w:hint="eastAsia" w:ascii="楷体" w:hAnsi="楷体" w:eastAsia="楷体" w:cs="楷体"/>
        </w:rPr>
      </w:pPr>
      <w:bookmarkStart w:id="112" w:name="_Toc28734"/>
      <w:bookmarkStart w:id="113" w:name="_Toc28944"/>
      <w:bookmarkStart w:id="114" w:name="_Toc13019"/>
      <w:r>
        <w:rPr>
          <w:rFonts w:hint="eastAsia" w:ascii="楷体" w:hAnsi="楷体" w:eastAsia="楷体" w:cs="楷体"/>
        </w:rPr>
        <w:t>附 件1：法人授权委托书</w:t>
      </w:r>
      <w:bookmarkEnd w:id="111"/>
      <w:bookmarkEnd w:id="112"/>
      <w:bookmarkEnd w:id="113"/>
      <w:bookmarkEnd w:id="114"/>
    </w:p>
    <w:p>
      <w:pPr>
        <w:spacing w:line="360" w:lineRule="auto"/>
        <w:rPr>
          <w:rFonts w:ascii="楷体" w:hAnsi="楷体" w:eastAsia="楷体" w:cs="楷体"/>
          <w:sz w:val="24"/>
          <w:szCs w:val="24"/>
        </w:rPr>
      </w:pPr>
      <w:r>
        <w:rPr>
          <w:rFonts w:hint="eastAsia" w:ascii="楷体" w:hAnsi="楷体" w:eastAsia="楷体" w:cs="楷体"/>
          <w:sz w:val="24"/>
          <w:szCs w:val="24"/>
        </w:rPr>
        <w:t>南京交通职业技术学院：</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本授权书宣告：</w:t>
      </w:r>
    </w:p>
    <w:p>
      <w:pPr>
        <w:spacing w:line="360" w:lineRule="auto"/>
        <w:rPr>
          <w:rFonts w:ascii="楷体" w:hAnsi="楷体" w:eastAsia="楷体" w:cs="楷体"/>
          <w:sz w:val="24"/>
          <w:szCs w:val="24"/>
        </w:rPr>
      </w:pPr>
      <w:r>
        <w:rPr>
          <w:rFonts w:hint="eastAsia" w:ascii="楷体" w:hAnsi="楷体" w:eastAsia="楷体" w:cs="楷体"/>
          <w:sz w:val="24"/>
          <w:szCs w:val="24"/>
        </w:rPr>
        <w:t xml:space="preserve">   委托单位：</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地    址：</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受托人：</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出生日期：</w:t>
      </w:r>
      <w:r>
        <w:rPr>
          <w:rFonts w:hint="eastAsia" w:ascii="楷体" w:hAnsi="楷体" w:eastAsia="楷体" w:cs="楷体"/>
          <w:sz w:val="24"/>
          <w:szCs w:val="24"/>
          <w:u w:val="single"/>
        </w:rPr>
        <w:t xml:space="preserve">   </w:t>
      </w:r>
      <w:r>
        <w:rPr>
          <w:rFonts w:hint="eastAsia" w:ascii="楷体" w:hAnsi="楷体" w:eastAsia="楷体" w:cs="楷体"/>
          <w:sz w:val="24"/>
          <w:szCs w:val="24"/>
        </w:rPr>
        <w:t>年</w:t>
      </w:r>
      <w:r>
        <w:rPr>
          <w:rFonts w:hint="eastAsia" w:ascii="楷体" w:hAnsi="楷体" w:eastAsia="楷体" w:cs="楷体"/>
          <w:sz w:val="24"/>
          <w:szCs w:val="24"/>
          <w:u w:val="single"/>
        </w:rPr>
        <w:t xml:space="preserve">    </w:t>
      </w:r>
      <w:r>
        <w:rPr>
          <w:rFonts w:hint="eastAsia" w:ascii="楷体" w:hAnsi="楷体" w:eastAsia="楷体" w:cs="楷体"/>
          <w:sz w:val="24"/>
          <w:szCs w:val="24"/>
        </w:rPr>
        <w:t>月</w:t>
      </w:r>
      <w:r>
        <w:rPr>
          <w:rFonts w:hint="eastAsia" w:ascii="楷体" w:hAnsi="楷体" w:eastAsia="楷体" w:cs="楷体"/>
          <w:sz w:val="24"/>
          <w:szCs w:val="24"/>
          <w:u w:val="single"/>
        </w:rPr>
        <w:t xml:space="preserve">    </w:t>
      </w:r>
      <w:r>
        <w:rPr>
          <w:rFonts w:hint="eastAsia" w:ascii="楷体" w:hAnsi="楷体" w:eastAsia="楷体" w:cs="楷体"/>
          <w:sz w:val="24"/>
          <w:szCs w:val="24"/>
        </w:rPr>
        <w:t>日</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所在单位：</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职务：</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身 份 证：</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联系方式: </w:t>
      </w:r>
      <w:r>
        <w:rPr>
          <w:rFonts w:hint="eastAsia" w:ascii="楷体" w:hAnsi="楷体" w:eastAsia="楷体" w:cs="楷体"/>
          <w:sz w:val="24"/>
          <w:szCs w:val="24"/>
          <w:u w:val="single"/>
        </w:rPr>
        <w:t xml:space="preserve">                     </w:t>
      </w:r>
    </w:p>
    <w:p>
      <w:pPr>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兹委托受托人合法地代表我单位参加南京交通职业技术学院组织的（采购编号为：</w:t>
      </w:r>
      <w:r>
        <w:rPr>
          <w:rFonts w:hint="eastAsia" w:ascii="楷体" w:hAnsi="楷体" w:eastAsia="楷体" w:cs="楷体"/>
          <w:b/>
          <w:bCs/>
          <w:sz w:val="24"/>
          <w:szCs w:val="24"/>
          <w:lang w:eastAsia="zh-CN"/>
        </w:rPr>
        <w:t>JY2021</w:t>
      </w:r>
      <w:r>
        <w:rPr>
          <w:rFonts w:hint="eastAsia" w:ascii="楷体" w:hAnsi="楷体" w:eastAsia="楷体" w:cs="楷体"/>
          <w:b/>
          <w:bCs/>
          <w:sz w:val="24"/>
          <w:szCs w:val="24"/>
          <w:lang w:val="en-US" w:eastAsia="zh-CN"/>
        </w:rPr>
        <w:t>144</w:t>
      </w:r>
      <w:r>
        <w:rPr>
          <w:rFonts w:hint="eastAsia" w:ascii="楷体" w:hAnsi="楷体" w:eastAsia="楷体" w:cs="楷体"/>
          <w:sz w:val="24"/>
          <w:szCs w:val="24"/>
        </w:rPr>
        <w:t>）南京交通职业技术学院</w:t>
      </w:r>
      <w:r>
        <w:rPr>
          <w:rFonts w:hint="eastAsia" w:ascii="楷体" w:hAnsi="楷体" w:eastAsia="楷体" w:cs="楷体"/>
          <w:b w:val="0"/>
          <w:bCs w:val="0"/>
          <w:sz w:val="24"/>
          <w:szCs w:val="24"/>
          <w:lang w:eastAsia="zh-CN"/>
        </w:rPr>
        <w:t>行健馆</w:t>
      </w:r>
      <w:r>
        <w:rPr>
          <w:rFonts w:hint="eastAsia" w:ascii="楷体" w:hAnsi="楷体" w:eastAsia="楷体" w:cs="楷体"/>
          <w:b w:val="0"/>
          <w:bCs w:val="0"/>
          <w:sz w:val="24"/>
          <w:szCs w:val="24"/>
          <w:lang w:val="en-US" w:eastAsia="zh-CN"/>
        </w:rPr>
        <w:t>226室报告厅改造</w:t>
      </w:r>
      <w:r>
        <w:rPr>
          <w:rFonts w:hint="eastAsia" w:ascii="楷体" w:hAnsi="楷体" w:eastAsia="楷体" w:cs="楷体"/>
          <w:b w:val="0"/>
          <w:bCs w:val="0"/>
          <w:sz w:val="24"/>
          <w:szCs w:val="24"/>
          <w:lang w:eastAsia="zh-CN"/>
        </w:rPr>
        <w:t>工程</w:t>
      </w:r>
      <w:r>
        <w:rPr>
          <w:rFonts w:hint="eastAsia" w:ascii="楷体" w:hAnsi="楷体" w:eastAsia="楷体" w:cs="楷体"/>
          <w:b/>
          <w:bCs/>
          <w:sz w:val="24"/>
          <w:szCs w:val="24"/>
          <w:lang w:eastAsia="zh-CN"/>
        </w:rPr>
        <w:t>项目</w:t>
      </w:r>
      <w:r>
        <w:rPr>
          <w:rFonts w:hint="eastAsia" w:ascii="楷体" w:hAnsi="楷体" w:eastAsia="楷体" w:cs="楷体"/>
          <w:sz w:val="24"/>
          <w:szCs w:val="24"/>
        </w:rPr>
        <w:t>的采购活动，受托人有权在该采购活动中，以我单位的名义签署磋商函和磋商响应文件，与采购人协商、澄清、解释，质疑，签订合同书并执行一切与此有关的事项。</w:t>
      </w:r>
    </w:p>
    <w:p>
      <w:pPr>
        <w:spacing w:line="360" w:lineRule="auto"/>
        <w:rPr>
          <w:rFonts w:ascii="楷体" w:hAnsi="楷体" w:eastAsia="楷体" w:cs="楷体"/>
          <w:sz w:val="24"/>
          <w:szCs w:val="24"/>
        </w:rPr>
      </w:pPr>
      <w:r>
        <w:rPr>
          <w:rFonts w:hint="eastAsia" w:ascii="楷体" w:hAnsi="楷体" w:eastAsia="楷体" w:cs="楷体"/>
          <w:sz w:val="24"/>
          <w:szCs w:val="24"/>
        </w:rPr>
        <w:t>受托人在办理上述事宜过程中以其自己的名义所签署的所有文件我均予以承认。受托人无转委托权。</w:t>
      </w:r>
    </w:p>
    <w:p>
      <w:pPr>
        <w:spacing w:line="360" w:lineRule="auto"/>
        <w:rPr>
          <w:rFonts w:ascii="楷体" w:hAnsi="楷体" w:eastAsia="楷体" w:cs="楷体"/>
          <w:sz w:val="24"/>
          <w:szCs w:val="24"/>
        </w:rPr>
      </w:pPr>
      <w:r>
        <w:rPr>
          <w:rFonts w:hint="eastAsia" w:ascii="楷体" w:hAnsi="楷体" w:eastAsia="楷体" w:cs="楷体"/>
          <w:sz w:val="24"/>
          <w:szCs w:val="24"/>
        </w:rPr>
        <w:t>委托期限：至上述事宜处理完毕止。</w:t>
      </w:r>
    </w:p>
    <w:p>
      <w:pPr>
        <w:spacing w:line="360" w:lineRule="auto"/>
        <w:jc w:val="left"/>
        <w:rPr>
          <w:rFonts w:ascii="楷体" w:hAnsi="楷体" w:eastAsia="楷体" w:cs="楷体"/>
          <w:sz w:val="24"/>
          <w:szCs w:val="24"/>
        </w:rPr>
      </w:pPr>
    </w:p>
    <w:p>
      <w:pPr>
        <w:spacing w:line="360" w:lineRule="auto"/>
        <w:jc w:val="center"/>
        <w:rPr>
          <w:rFonts w:ascii="楷体" w:hAnsi="楷体" w:eastAsia="楷体" w:cs="楷体"/>
          <w:sz w:val="24"/>
          <w:szCs w:val="24"/>
        </w:rPr>
      </w:pPr>
      <w:r>
        <w:rPr>
          <w:rFonts w:hint="eastAsia" w:ascii="楷体" w:hAnsi="楷体" w:eastAsia="楷体" w:cs="楷体"/>
          <w:sz w:val="24"/>
          <w:szCs w:val="24"/>
        </w:rPr>
        <w:t>委托单位   （公章）</w:t>
      </w:r>
    </w:p>
    <w:p>
      <w:pPr>
        <w:spacing w:line="360" w:lineRule="auto"/>
        <w:ind w:left="4080" w:hanging="4080" w:hangingChars="1700"/>
        <w:jc w:val="center"/>
        <w:rPr>
          <w:rFonts w:ascii="楷体" w:hAnsi="楷体" w:eastAsia="楷体" w:cs="楷体"/>
          <w:sz w:val="24"/>
          <w:szCs w:val="24"/>
        </w:rPr>
      </w:pPr>
      <w:r>
        <w:rPr>
          <w:rFonts w:hint="eastAsia" w:ascii="楷体" w:hAnsi="楷体" w:eastAsia="楷体" w:cs="楷体"/>
          <w:sz w:val="24"/>
          <w:szCs w:val="24"/>
        </w:rPr>
        <w:t xml:space="preserve">    法定代表人（签字或盖章）</w:t>
      </w:r>
    </w:p>
    <w:p>
      <w:pPr>
        <w:spacing w:line="360" w:lineRule="auto"/>
        <w:ind w:left="4080" w:hanging="4080" w:hangingChars="1700"/>
        <w:jc w:val="center"/>
        <w:rPr>
          <w:rFonts w:ascii="楷体" w:hAnsi="楷体" w:eastAsia="楷体" w:cs="楷体"/>
          <w:sz w:val="28"/>
          <w:szCs w:val="28"/>
        </w:rPr>
      </w:pPr>
      <w:r>
        <w:rPr>
          <w:rFonts w:hint="eastAsia" w:ascii="楷体" w:hAnsi="楷体" w:eastAsia="楷体" w:cs="楷体"/>
          <w:sz w:val="24"/>
          <w:szCs w:val="24"/>
        </w:rPr>
        <w:t>202</w:t>
      </w:r>
      <w:r>
        <w:rPr>
          <w:rFonts w:hint="eastAsia" w:ascii="楷体" w:hAnsi="楷体" w:eastAsia="楷体" w:cs="楷体"/>
          <w:sz w:val="24"/>
          <w:szCs w:val="24"/>
          <w:lang w:val="en-US" w:eastAsia="zh-CN"/>
        </w:rPr>
        <w:t>1</w:t>
      </w:r>
      <w:r>
        <w:rPr>
          <w:rFonts w:hint="eastAsia" w:ascii="楷体" w:hAnsi="楷体" w:eastAsia="楷体" w:cs="楷体"/>
          <w:sz w:val="24"/>
          <w:szCs w:val="24"/>
        </w:rPr>
        <w:t>年  月  日</w:t>
      </w:r>
    </w:p>
    <w:p>
      <w:pPr>
        <w:spacing w:line="360" w:lineRule="auto"/>
        <w:rPr>
          <w:rFonts w:ascii="楷体" w:hAnsi="楷体" w:eastAsia="楷体" w:cs="楷体"/>
          <w:sz w:val="24"/>
          <w:szCs w:val="24"/>
        </w:rPr>
      </w:pPr>
      <w:r>
        <w:rPr>
          <w:rFonts w:hint="eastAsia" w:ascii="楷体" w:hAnsi="楷体" w:eastAsia="楷体" w:cs="楷体"/>
          <w:sz w:val="24"/>
          <w:szCs w:val="24"/>
        </w:rPr>
        <w:t>备注：</w:t>
      </w:r>
    </w:p>
    <w:p>
      <w:pPr>
        <w:spacing w:line="360" w:lineRule="auto"/>
        <w:rPr>
          <w:rFonts w:ascii="楷体" w:hAnsi="楷体" w:eastAsia="楷体" w:cs="楷体"/>
          <w:sz w:val="24"/>
          <w:szCs w:val="24"/>
        </w:rPr>
      </w:pPr>
      <w:r>
        <w:rPr>
          <w:rFonts w:hint="eastAsia" w:ascii="楷体" w:hAnsi="楷体" w:eastAsia="楷体" w:cs="楷体"/>
          <w:sz w:val="24"/>
          <w:szCs w:val="24"/>
        </w:rPr>
        <w:t>1、供应商授权代表须在响应文件递交截止时间前持授权书原件及授权代表身份证件办理签名报到。（投标文件中须附授权代表及法人的身份证复印件）</w:t>
      </w:r>
    </w:p>
    <w:p>
      <w:pPr>
        <w:spacing w:line="360" w:lineRule="auto"/>
        <w:rPr>
          <w:rFonts w:ascii="楷体" w:hAnsi="楷体" w:eastAsia="楷体" w:cs="楷体"/>
          <w:sz w:val="24"/>
          <w:szCs w:val="24"/>
        </w:rPr>
      </w:pPr>
      <w:r>
        <w:rPr>
          <w:rFonts w:hint="eastAsia" w:ascii="楷体" w:hAnsi="楷体" w:eastAsia="楷体" w:cs="楷体"/>
          <w:sz w:val="24"/>
          <w:szCs w:val="24"/>
        </w:rPr>
        <w:t>2、非授权代表办理上述事宜，采购人将拒绝。</w:t>
      </w:r>
    </w:p>
    <w:p>
      <w:pPr>
        <w:spacing w:line="360" w:lineRule="auto"/>
        <w:rPr>
          <w:rFonts w:ascii="楷体" w:hAnsi="楷体" w:eastAsia="楷体" w:cs="楷体"/>
          <w:sz w:val="24"/>
          <w:szCs w:val="24"/>
        </w:rPr>
      </w:pPr>
      <w:r>
        <w:rPr>
          <w:rFonts w:hint="eastAsia" w:ascii="楷体" w:hAnsi="楷体" w:eastAsia="楷体" w:cs="楷体"/>
          <w:sz w:val="24"/>
          <w:szCs w:val="24"/>
        </w:rPr>
        <w:t>3、供应商法定代表人直接参加投标的，无须提供法人授权委托书，但须持本人身份证件及营业执照复印件办理相关手续。</w:t>
      </w:r>
    </w:p>
    <w:p>
      <w:pPr>
        <w:spacing w:line="360" w:lineRule="auto"/>
        <w:rPr>
          <w:rFonts w:ascii="楷体" w:hAnsi="楷体" w:eastAsia="楷体" w:cs="楷体"/>
          <w:sz w:val="28"/>
          <w:szCs w:val="28"/>
        </w:rPr>
      </w:pPr>
    </w:p>
    <w:p>
      <w:pPr>
        <w:pStyle w:val="40"/>
        <w:numPr>
          <w:ilvl w:val="0"/>
          <w:numId w:val="0"/>
        </w:numPr>
        <w:jc w:val="center"/>
        <w:rPr>
          <w:rFonts w:hint="eastAsia" w:ascii="楷体" w:hAnsi="楷体" w:eastAsia="楷体" w:cs="楷体"/>
        </w:rPr>
      </w:pPr>
      <w:bookmarkStart w:id="115" w:name="_Toc30644"/>
      <w:r>
        <w:rPr>
          <w:rFonts w:hint="eastAsia" w:ascii="楷体" w:hAnsi="楷体" w:eastAsia="楷体" w:cs="楷体"/>
          <w:b w:val="0"/>
          <w:bCs w:val="0"/>
        </w:rPr>
        <w:br w:type="page"/>
      </w:r>
      <w:bookmarkEnd w:id="115"/>
      <w:bookmarkStart w:id="116" w:name="_Toc2252"/>
      <w:bookmarkStart w:id="117" w:name="_Toc27307"/>
      <w:bookmarkStart w:id="118" w:name="_Toc9521"/>
      <w:bookmarkStart w:id="119" w:name="_Toc9284"/>
      <w:bookmarkStart w:id="120" w:name="_Toc9701"/>
      <w:r>
        <w:rPr>
          <w:rFonts w:hint="eastAsia" w:ascii="楷体" w:hAnsi="楷体" w:eastAsia="楷体" w:cs="楷体"/>
        </w:rPr>
        <w:t>附 件</w:t>
      </w:r>
      <w:r>
        <w:rPr>
          <w:rFonts w:hint="eastAsia" w:ascii="楷体" w:hAnsi="楷体" w:eastAsia="楷体" w:cs="楷体"/>
          <w:lang w:val="en-US" w:eastAsia="zh-CN"/>
        </w:rPr>
        <w:t>2</w:t>
      </w:r>
      <w:r>
        <w:rPr>
          <w:rFonts w:hint="eastAsia" w:ascii="楷体" w:hAnsi="楷体" w:eastAsia="楷体" w:cs="楷体"/>
        </w:rPr>
        <w:t>：具备履行合同所必需的设备和专业技术能力的书面声明</w:t>
      </w:r>
      <w:bookmarkEnd w:id="116"/>
      <w:bookmarkEnd w:id="117"/>
      <w:bookmarkEnd w:id="118"/>
      <w:bookmarkEnd w:id="119"/>
    </w:p>
    <w:bookmarkEnd w:id="120"/>
    <w:p>
      <w:pPr>
        <w:spacing w:line="460" w:lineRule="exact"/>
        <w:rPr>
          <w:rFonts w:ascii="楷体" w:hAnsi="楷体" w:eastAsia="楷体" w:cs="楷体"/>
          <w:sz w:val="24"/>
          <w:szCs w:val="24"/>
        </w:rPr>
      </w:pPr>
    </w:p>
    <w:p>
      <w:pPr>
        <w:spacing w:line="460" w:lineRule="exact"/>
        <w:ind w:firstLine="492"/>
        <w:rPr>
          <w:rFonts w:ascii="楷体" w:hAnsi="楷体" w:eastAsia="楷体" w:cs="楷体"/>
          <w:sz w:val="24"/>
          <w:szCs w:val="24"/>
        </w:rPr>
      </w:pPr>
      <w:r>
        <w:rPr>
          <w:rFonts w:hint="eastAsia" w:ascii="楷体" w:hAnsi="楷体" w:eastAsia="楷体" w:cs="楷体"/>
          <w:sz w:val="24"/>
          <w:szCs w:val="24"/>
        </w:rPr>
        <w:t>我公司郑重声明：我公司具备履行本项采购合同所必需的设备和专业技术能力，为履行本项采购合同我公司具备如下主要设备和主要专业技术能力：</w:t>
      </w:r>
    </w:p>
    <w:p>
      <w:pPr>
        <w:spacing w:line="460" w:lineRule="exact"/>
        <w:ind w:firstLine="492"/>
        <w:rPr>
          <w:rFonts w:ascii="楷体" w:hAnsi="楷体" w:eastAsia="楷体" w:cs="楷体"/>
          <w:sz w:val="24"/>
          <w:szCs w:val="24"/>
        </w:rPr>
      </w:pPr>
      <w:r>
        <w:rPr>
          <w:rFonts w:hint="eastAsia" w:ascii="楷体" w:hAnsi="楷体" w:eastAsia="楷体" w:cs="楷体"/>
          <w:sz w:val="24"/>
          <w:szCs w:val="24"/>
        </w:rPr>
        <w:t>主要设备有：  。</w:t>
      </w:r>
    </w:p>
    <w:p>
      <w:pPr>
        <w:spacing w:line="460" w:lineRule="exact"/>
        <w:ind w:firstLine="492"/>
        <w:rPr>
          <w:rFonts w:ascii="楷体" w:hAnsi="楷体" w:eastAsia="楷体" w:cs="楷体"/>
          <w:sz w:val="24"/>
          <w:szCs w:val="24"/>
        </w:rPr>
      </w:pPr>
      <w:r>
        <w:rPr>
          <w:rFonts w:hint="eastAsia" w:ascii="楷体" w:hAnsi="楷体" w:eastAsia="楷体" w:cs="楷体"/>
          <w:sz w:val="24"/>
          <w:szCs w:val="24"/>
        </w:rPr>
        <w:t>主要专业技术能力有：   。</w:t>
      </w:r>
    </w:p>
    <w:p>
      <w:pPr>
        <w:spacing w:line="460" w:lineRule="exact"/>
        <w:rPr>
          <w:rFonts w:ascii="楷体" w:hAnsi="楷体" w:eastAsia="楷体" w:cs="楷体"/>
          <w:sz w:val="24"/>
          <w:szCs w:val="24"/>
        </w:rPr>
      </w:pPr>
      <w:r>
        <w:rPr>
          <w:rFonts w:hint="eastAsia" w:ascii="楷体" w:hAnsi="楷体" w:eastAsia="楷体" w:cs="楷体"/>
          <w:sz w:val="24"/>
          <w:szCs w:val="24"/>
        </w:rPr>
        <w:t xml:space="preserve">                                     </w:t>
      </w:r>
    </w:p>
    <w:p>
      <w:pPr>
        <w:spacing w:line="460" w:lineRule="exact"/>
        <w:rPr>
          <w:rFonts w:ascii="楷体" w:hAnsi="楷体" w:eastAsia="楷体" w:cs="楷体"/>
          <w:sz w:val="24"/>
          <w:szCs w:val="24"/>
        </w:rPr>
      </w:pPr>
    </w:p>
    <w:p>
      <w:pPr>
        <w:spacing w:line="460" w:lineRule="exact"/>
        <w:ind w:firstLine="4560" w:firstLineChars="1900"/>
        <w:rPr>
          <w:rFonts w:ascii="楷体" w:hAnsi="楷体" w:eastAsia="楷体" w:cs="楷体"/>
          <w:sz w:val="24"/>
          <w:szCs w:val="24"/>
        </w:rPr>
      </w:pPr>
      <w:r>
        <w:rPr>
          <w:rFonts w:hint="eastAsia" w:ascii="楷体" w:hAnsi="楷体" w:eastAsia="楷体" w:cs="楷体"/>
          <w:sz w:val="24"/>
          <w:szCs w:val="24"/>
        </w:rPr>
        <w:t>法定代表人或授权代表签字：</w:t>
      </w:r>
    </w:p>
    <w:p>
      <w:pPr>
        <w:spacing w:line="460" w:lineRule="exact"/>
        <w:rPr>
          <w:rFonts w:ascii="楷体" w:hAnsi="楷体" w:eastAsia="楷体" w:cs="楷体"/>
          <w:sz w:val="24"/>
          <w:szCs w:val="24"/>
        </w:rPr>
      </w:pPr>
      <w:r>
        <w:rPr>
          <w:rFonts w:hint="eastAsia" w:ascii="楷体" w:hAnsi="楷体" w:eastAsia="楷体" w:cs="楷体"/>
          <w:sz w:val="24"/>
          <w:szCs w:val="24"/>
        </w:rPr>
        <w:t xml:space="preserve">                                      日期：</w:t>
      </w:r>
      <w:r>
        <w:rPr>
          <w:rFonts w:hint="eastAsia" w:ascii="楷体" w:hAnsi="楷体" w:eastAsia="楷体" w:cs="楷体"/>
          <w:sz w:val="24"/>
          <w:szCs w:val="24"/>
          <w:u w:val="single"/>
        </w:rPr>
        <w:t xml:space="preserve">      </w:t>
      </w:r>
      <w:r>
        <w:rPr>
          <w:rFonts w:hint="eastAsia" w:ascii="楷体" w:hAnsi="楷体" w:eastAsia="楷体" w:cs="楷体"/>
          <w:sz w:val="24"/>
          <w:szCs w:val="24"/>
        </w:rPr>
        <w:t>年</w:t>
      </w:r>
      <w:r>
        <w:rPr>
          <w:rFonts w:hint="eastAsia" w:ascii="楷体" w:hAnsi="楷体" w:eastAsia="楷体" w:cs="楷体"/>
          <w:sz w:val="24"/>
          <w:szCs w:val="24"/>
          <w:u w:val="single"/>
        </w:rPr>
        <w:t xml:space="preserve">    </w:t>
      </w:r>
      <w:r>
        <w:rPr>
          <w:rFonts w:hint="eastAsia" w:ascii="楷体" w:hAnsi="楷体" w:eastAsia="楷体" w:cs="楷体"/>
          <w:sz w:val="24"/>
          <w:szCs w:val="24"/>
        </w:rPr>
        <w:t>月</w:t>
      </w:r>
      <w:r>
        <w:rPr>
          <w:rFonts w:hint="eastAsia" w:ascii="楷体" w:hAnsi="楷体" w:eastAsia="楷体" w:cs="楷体"/>
          <w:sz w:val="24"/>
          <w:szCs w:val="24"/>
          <w:u w:val="single"/>
        </w:rPr>
        <w:t xml:space="preserve">    </w:t>
      </w:r>
      <w:r>
        <w:rPr>
          <w:rFonts w:hint="eastAsia" w:ascii="楷体" w:hAnsi="楷体" w:eastAsia="楷体" w:cs="楷体"/>
          <w:sz w:val="24"/>
          <w:szCs w:val="24"/>
        </w:rPr>
        <w:t>日</w:t>
      </w:r>
    </w:p>
    <w:p>
      <w:pPr>
        <w:pStyle w:val="40"/>
        <w:numPr>
          <w:ilvl w:val="0"/>
          <w:numId w:val="0"/>
        </w:numPr>
        <w:jc w:val="center"/>
        <w:rPr>
          <w:rFonts w:hint="eastAsia" w:ascii="楷体" w:hAnsi="楷体" w:eastAsia="楷体" w:cs="楷体"/>
        </w:rPr>
      </w:pPr>
      <w:r>
        <w:rPr>
          <w:rFonts w:hint="eastAsia" w:ascii="楷体" w:hAnsi="楷体" w:eastAsia="楷体" w:cs="楷体"/>
        </w:rPr>
        <w:br w:type="page"/>
      </w:r>
      <w:bookmarkStart w:id="121" w:name="_Toc190"/>
      <w:bookmarkStart w:id="122" w:name="_Toc18188"/>
      <w:bookmarkStart w:id="123" w:name="_Toc26453"/>
      <w:bookmarkStart w:id="124" w:name="_Toc8873"/>
      <w:bookmarkStart w:id="125" w:name="_Toc10944"/>
      <w:bookmarkStart w:id="126" w:name="_Toc30482"/>
      <w:bookmarkStart w:id="127" w:name="_Toc28753"/>
      <w:r>
        <w:rPr>
          <w:rFonts w:hint="eastAsia" w:ascii="楷体" w:hAnsi="楷体" w:eastAsia="楷体" w:cs="楷体"/>
        </w:rPr>
        <w:t>附 件</w:t>
      </w:r>
      <w:bookmarkEnd w:id="121"/>
      <w:bookmarkEnd w:id="122"/>
      <w:r>
        <w:rPr>
          <w:rFonts w:hint="eastAsia" w:ascii="楷体" w:hAnsi="楷体" w:eastAsia="楷体" w:cs="楷体"/>
          <w:lang w:val="en-US" w:eastAsia="zh-CN"/>
        </w:rPr>
        <w:t>3</w:t>
      </w:r>
      <w:r>
        <w:rPr>
          <w:rFonts w:hint="eastAsia" w:ascii="楷体" w:hAnsi="楷体" w:eastAsia="楷体" w:cs="楷体"/>
        </w:rPr>
        <w:t>：三年内无重大违纪声明</w:t>
      </w:r>
      <w:bookmarkEnd w:id="123"/>
      <w:bookmarkEnd w:id="124"/>
      <w:bookmarkEnd w:id="125"/>
      <w:bookmarkEnd w:id="126"/>
      <w:bookmarkEnd w:id="127"/>
    </w:p>
    <w:p>
      <w:pPr>
        <w:spacing w:line="360" w:lineRule="auto"/>
        <w:jc w:val="center"/>
        <w:rPr>
          <w:rFonts w:ascii="楷体" w:hAnsi="楷体" w:eastAsia="楷体" w:cs="楷体"/>
          <w:sz w:val="36"/>
          <w:szCs w:val="36"/>
        </w:rPr>
      </w:pPr>
      <w:r>
        <w:rPr>
          <w:rFonts w:hint="eastAsia" w:ascii="楷体" w:hAnsi="楷体" w:eastAsia="楷体" w:cs="楷体"/>
          <w:b/>
          <w:bCs/>
          <w:sz w:val="36"/>
          <w:szCs w:val="36"/>
        </w:rPr>
        <w:t>声  明</w:t>
      </w:r>
    </w:p>
    <w:p>
      <w:pPr>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我公司郑重声明：参加本次采购活动前3年内，我公司在经营活动中没有因违法经营受到刑事处罚或者责令停产停业、吊销许可证或者执照、较大数额罚款等行政处罚。若采购单位在本项目采购过程中发现我公司近三年内在经营活动中有重大违法记录，我公司将无条件地退出本项目的采购，并承担因此引起的一切后果。</w:t>
      </w: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r>
        <w:rPr>
          <w:rFonts w:hint="eastAsia" w:ascii="楷体" w:hAnsi="楷体" w:eastAsia="楷体" w:cs="楷体"/>
          <w:sz w:val="24"/>
          <w:szCs w:val="24"/>
        </w:rPr>
        <w:t xml:space="preserve">                                磋商供应商全称（公章）：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法定代表人（授权代表）签章：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日期：</w:t>
      </w:r>
    </w:p>
    <w:p>
      <w:pPr>
        <w:rPr>
          <w:rFonts w:ascii="楷体" w:hAnsi="楷体" w:eastAsia="楷体" w:cs="楷体"/>
          <w:sz w:val="24"/>
          <w:szCs w:val="24"/>
        </w:rPr>
      </w:pPr>
    </w:p>
    <w:p>
      <w:pPr>
        <w:pStyle w:val="40"/>
        <w:numPr>
          <w:ilvl w:val="0"/>
          <w:numId w:val="0"/>
        </w:numPr>
        <w:jc w:val="center"/>
        <w:rPr>
          <w:rFonts w:hint="eastAsia" w:ascii="楷体" w:hAnsi="楷体" w:eastAsia="楷体" w:cs="楷体"/>
        </w:rPr>
      </w:pPr>
      <w:r>
        <w:rPr>
          <w:rFonts w:hint="eastAsia" w:ascii="楷体" w:hAnsi="楷体" w:eastAsia="楷体" w:cs="楷体"/>
          <w:b w:val="0"/>
          <w:bCs w:val="0"/>
          <w:sz w:val="24"/>
          <w:szCs w:val="24"/>
        </w:rPr>
        <w:br w:type="page"/>
      </w:r>
      <w:bookmarkStart w:id="128" w:name="_Toc26218"/>
      <w:bookmarkStart w:id="129" w:name="_Toc4338"/>
      <w:bookmarkStart w:id="130" w:name="_Toc12129"/>
      <w:bookmarkStart w:id="131" w:name="_Toc16683"/>
      <w:bookmarkStart w:id="132" w:name="_Toc4301"/>
      <w:r>
        <w:rPr>
          <w:rFonts w:hint="eastAsia" w:ascii="楷体" w:hAnsi="楷体" w:eastAsia="楷体" w:cs="楷体"/>
        </w:rPr>
        <w:t>附 件</w:t>
      </w:r>
      <w:r>
        <w:rPr>
          <w:rFonts w:hint="eastAsia" w:ascii="楷体" w:hAnsi="楷体" w:eastAsia="楷体" w:cs="楷体"/>
          <w:lang w:val="en-US" w:eastAsia="zh-CN"/>
        </w:rPr>
        <w:t>4</w:t>
      </w:r>
      <w:r>
        <w:rPr>
          <w:rFonts w:hint="eastAsia" w:ascii="楷体" w:hAnsi="楷体" w:eastAsia="楷体" w:cs="楷体"/>
        </w:rPr>
        <w:t>：中小企业声明函格式</w:t>
      </w:r>
      <w:bookmarkEnd w:id="128"/>
      <w:bookmarkEnd w:id="129"/>
      <w:bookmarkEnd w:id="130"/>
      <w:bookmarkEnd w:id="131"/>
    </w:p>
    <w:p>
      <w:pPr>
        <w:spacing w:line="360" w:lineRule="auto"/>
        <w:jc w:val="center"/>
        <w:rPr>
          <w:rFonts w:ascii="楷体" w:hAnsi="楷体" w:eastAsia="楷体" w:cs="楷体"/>
          <w:sz w:val="24"/>
          <w:szCs w:val="24"/>
        </w:rPr>
      </w:pPr>
      <w:r>
        <w:rPr>
          <w:rFonts w:hint="eastAsia" w:ascii="楷体" w:hAnsi="楷体" w:eastAsia="楷体" w:cs="楷体"/>
          <w:sz w:val="24"/>
          <w:szCs w:val="24"/>
        </w:rPr>
        <w:t>中小企业声明函</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本公司郑重声明，根据《政府采购促进中小企业发展暂行办法》（财库[2011]181号）的规定，本公司为______（请填写：中型、小型、微型）企业。即，本公司同时满足以下条件：</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1、根据《工业和信息化部、国家统计局、国家发展和改革委员会、财政部关于印发中小企业划型标准规定的通知》（工信部联企业[2011]300号）规定的划分标准，本公司为______（请填写：中型、小型、微型）企业。</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本公司对上述声明的真实性负责。如有虚假，将依法承担相应责任。</w:t>
      </w: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r>
        <w:rPr>
          <w:rFonts w:hint="eastAsia" w:ascii="楷体" w:hAnsi="楷体" w:eastAsia="楷体" w:cs="楷体"/>
          <w:sz w:val="28"/>
          <w:szCs w:val="28"/>
        </w:rPr>
        <w:t xml:space="preserve">                          </w:t>
      </w:r>
      <w:r>
        <w:rPr>
          <w:rFonts w:hint="eastAsia" w:ascii="楷体" w:hAnsi="楷体" w:eastAsia="楷体" w:cs="楷体"/>
          <w:sz w:val="24"/>
          <w:szCs w:val="24"/>
        </w:rPr>
        <w:t xml:space="preserve"> 磋商供应商全称（公章）：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法定代表人（授权代表）签章：</w:t>
      </w:r>
    </w:p>
    <w:p>
      <w:pPr>
        <w:rPr>
          <w:rFonts w:hint="eastAsia" w:ascii="楷体" w:hAnsi="楷体" w:eastAsia="楷体" w:cs="楷体"/>
          <w:sz w:val="24"/>
          <w:szCs w:val="24"/>
        </w:rPr>
      </w:pPr>
      <w:r>
        <w:rPr>
          <w:rFonts w:hint="eastAsia" w:ascii="楷体" w:hAnsi="楷体" w:eastAsia="楷体" w:cs="楷体"/>
          <w:sz w:val="24"/>
          <w:szCs w:val="24"/>
        </w:rPr>
        <w:t xml:space="preserve">                               日期：</w:t>
      </w:r>
      <w:bookmarkEnd w:id="132"/>
      <w:bookmarkStart w:id="133" w:name="_Toc10887"/>
      <w:bookmarkStart w:id="134" w:name="_Toc31660"/>
      <w:bookmarkStart w:id="135" w:name="_Toc30780"/>
      <w:bookmarkStart w:id="136" w:name="_Toc11048"/>
    </w:p>
    <w:bookmarkEnd w:id="133"/>
    <w:bookmarkEnd w:id="134"/>
    <w:bookmarkEnd w:id="135"/>
    <w:bookmarkEnd w:id="136"/>
    <w:p>
      <w:pPr>
        <w:spacing w:line="360" w:lineRule="auto"/>
        <w:rPr>
          <w:rFonts w:ascii="楷体" w:hAnsi="楷体" w:eastAsia="楷体" w:cs="楷体"/>
          <w:sz w:val="24"/>
          <w:szCs w:val="24"/>
        </w:rPr>
      </w:pPr>
    </w:p>
    <w:p>
      <w:pPr>
        <w:spacing w:line="360" w:lineRule="auto"/>
        <w:rPr>
          <w:rFonts w:ascii="楷体" w:hAnsi="楷体" w:eastAsia="楷体" w:cs="楷体"/>
          <w:sz w:val="28"/>
          <w:szCs w:val="28"/>
        </w:rPr>
      </w:pPr>
    </w:p>
    <w:p>
      <w:pPr>
        <w:rPr>
          <w:rFonts w:ascii="楷体" w:hAnsi="楷体" w:eastAsia="楷体" w:cs="楷体"/>
        </w:rPr>
      </w:pPr>
    </w:p>
    <w:p>
      <w:pPr>
        <w:spacing w:line="360" w:lineRule="auto"/>
        <w:rPr>
          <w:rFonts w:ascii="楷体" w:hAnsi="楷体" w:eastAsia="楷体" w:cs="楷体"/>
          <w:sz w:val="28"/>
          <w:szCs w:val="28"/>
        </w:rPr>
      </w:pPr>
    </w:p>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ind w:left="0" w:leftChars="0" w:firstLine="0" w:firstLineChars="0"/>
        <w:rPr>
          <w:rFonts w:hint="eastAsia" w:ascii="楷体" w:hAnsi="楷体" w:eastAsia="楷体" w:cs="楷体"/>
          <w:sz w:val="28"/>
          <w:szCs w:val="28"/>
          <w:lang w:eastAsia="zh-CN"/>
        </w:rPr>
      </w:pPr>
    </w:p>
    <w:sectPr>
      <w:headerReference r:id="rId3" w:type="default"/>
      <w:footerReference r:id="rId4" w:type="default"/>
      <w:pgSz w:w="11906" w:h="16838"/>
      <w:pgMar w:top="1440" w:right="1803" w:bottom="1440" w:left="1803" w:header="851" w:footer="992" w:gutter="0"/>
      <w:pgBorders>
        <w:top w:val="none" w:sz="0" w:space="0"/>
        <w:left w:val="none" w:sz="0" w:space="0"/>
        <w:bottom w:val="none" w:sz="0" w:space="0"/>
        <w:right w:val="none" w:sz="0" w:space="0"/>
      </w:pgBorders>
      <w:pgNumType w:start="1"/>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swiss"/>
    <w:pitch w:val="default"/>
    <w:sig w:usb0="FFFFFFFF" w:usb1="E9FFFFFF" w:usb2="0000003F" w:usb3="00000000" w:csb0="603F01FF" w:csb1="FFFF0000"/>
  </w:font>
  <w:font w:name="楷体_GB2312">
    <w:panose1 w:val="02010609030101010101"/>
    <w:charset w:val="86"/>
    <w:family w:val="modern"/>
    <w:pitch w:val="default"/>
    <w:sig w:usb0="00000001" w:usb1="080E0000" w:usb2="00000000" w:usb3="00000000" w:csb0="00040000" w:csb1="00000000"/>
  </w:font>
  <w:font w:name="红豆幼黑体">
    <w:altName w:val="黑体"/>
    <w:panose1 w:val="02000509000000000000"/>
    <w:charset w:val="86"/>
    <w:family w:val="auto"/>
    <w:pitch w:val="default"/>
    <w:sig w:usb0="00000000" w:usb1="00000000" w:usb2="00000012" w:usb3="00000000" w:csb0="00040001"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方正仿宋_GBK">
    <w:altName w:val="Arial Unicode MS"/>
    <w:panose1 w:val="02000000000000000000"/>
    <w:charset w:val="86"/>
    <w:family w:val="script"/>
    <w:pitch w:val="default"/>
    <w:sig w:usb0="00000000" w:usb1="00000000" w:usb2="00082016" w:usb3="00000000" w:csb0="00040001" w:csb1="0000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小标宋_GBK">
    <w:altName w:val="Arial Unicode MS"/>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86385" cy="196850"/>
              <wp:effectExtent l="0" t="0" r="0" b="0"/>
              <wp:wrapNone/>
              <wp:docPr id="3" name="Text Box 1025"/>
              <wp:cNvGraphicFramePr/>
              <a:graphic xmlns:a="http://schemas.openxmlformats.org/drawingml/2006/main">
                <a:graphicData uri="http://schemas.microsoft.com/office/word/2010/wordprocessingShape">
                  <wps:wsp>
                    <wps:cNvSpPr txBox="1"/>
                    <wps:spPr>
                      <a:xfrm>
                        <a:off x="0" y="0"/>
                        <a:ext cx="286385" cy="196850"/>
                      </a:xfrm>
                      <a:prstGeom prst="rect">
                        <a:avLst/>
                      </a:prstGeom>
                      <a:noFill/>
                      <a:ln w="9525">
                        <a:noFill/>
                      </a:ln>
                      <a:effectLst/>
                    </wps:spPr>
                    <wps:txbx>
                      <w:txbxContent>
                        <w:p>
                          <w:pPr>
                            <w:pStyle w:val="14"/>
                            <w:ind w:firstLine="360"/>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 id="Text Box 1025" o:spid="_x0000_s1026" o:spt="202" type="#_x0000_t202" style="position:absolute;left:0pt;margin-top:0pt;height:15.5pt;width:22.55pt;mso-position-horizontal:center;mso-position-horizontal-relative:margin;mso-wrap-style:none;z-index:251659264;mso-width-relative:page;mso-height-relative:page;" filled="f" stroked="f" coordsize="21600,21600" o:gfxdata="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kjFnH0QAAAAMBAAAPAAAAAAAAAAEAIAAAACIAAABkcnMvZG93&#10;bnJldi54bWxQSwECFAAUAAAACACHTuJAJnsgl84BAACwAwAADgAAAAAAAAABACAAAAAgAQAAZHJz&#10;L2Uyb0RvYy54bWxQSwUGAAAAAAYABgBZAQAAYAUAAAAA&#10;">
              <v:fill on="f" focussize="0,0"/>
              <v:stroke on="f"/>
              <v:imagedata o:title=""/>
              <o:lock v:ext="edit" aspectratio="f"/>
              <v:textbox inset="0mm,0mm,0mm,0mm" style="mso-fit-shape-to-text:t;">
                <w:txbxContent>
                  <w:p>
                    <w:pPr>
                      <w:pStyle w:val="14"/>
                      <w:ind w:firstLine="360"/>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auto" w:sz="4" w:space="1"/>
      </w:pBdr>
      <w:spacing w:line="240" w:lineRule="auto"/>
      <w:ind w:firstLine="0" w:firstLineChars="0"/>
      <w:jc w:val="both"/>
      <w:rPr>
        <w:rFonts w:hint="eastAsia" w:ascii="仿宋" w:hAnsi="仿宋" w:eastAsia="Calibri"/>
      </w:rPr>
    </w:pPr>
    <w:r>
      <w:rPr>
        <w:rFonts w:hint="eastAsia"/>
        <w:lang w:eastAsia="zh-CN"/>
      </w:rPr>
      <w:t>JY2021</w:t>
    </w:r>
    <w:r>
      <w:rPr>
        <w:rFonts w:hint="eastAsia"/>
        <w:lang w:val="en-US" w:eastAsia="zh-CN"/>
      </w:rPr>
      <w:t>144</w:t>
    </w:r>
    <w:r>
      <w:rPr>
        <w:rFonts w:hint="eastAsia"/>
      </w:rPr>
      <w:t xml:space="preserve">                                                        </w:t>
    </w:r>
    <w:r>
      <w:rPr>
        <w:rFonts w:hint="eastAsia" w:ascii="楷体" w:hAnsi="楷体" w:eastAsia="楷体"/>
      </w:rPr>
      <w:t>南京交通职业技术学院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decimal"/>
      <w:suff w:val="nothing"/>
      <w:lvlText w:val="（%1）"/>
      <w:lvlJc w:val="left"/>
    </w:lvl>
  </w:abstractNum>
  <w:abstractNum w:abstractNumId="1">
    <w:nsid w:val="00000002"/>
    <w:multiLevelType w:val="singleLevel"/>
    <w:tmpl w:val="00000002"/>
    <w:lvl w:ilvl="0" w:tentative="0">
      <w:start w:val="1"/>
      <w:numFmt w:val="decimal"/>
      <w:suff w:val="nothing"/>
      <w:lvlText w:val="（%1）"/>
      <w:lvlJc w:val="left"/>
    </w:lvl>
  </w:abstractNum>
  <w:abstractNum w:abstractNumId="2">
    <w:nsid w:val="00000003"/>
    <w:multiLevelType w:val="singleLevel"/>
    <w:tmpl w:val="00000003"/>
    <w:lvl w:ilvl="0" w:tentative="0">
      <w:start w:val="2"/>
      <w:numFmt w:val="decimal"/>
      <w:suff w:val="nothing"/>
      <w:lvlText w:val="（%1）"/>
      <w:lvlJc w:val="left"/>
    </w:lvl>
  </w:abstractNum>
  <w:abstractNum w:abstractNumId="3">
    <w:nsid w:val="00000011"/>
    <w:multiLevelType w:val="multilevel"/>
    <w:tmpl w:val="00000011"/>
    <w:lvl w:ilvl="0" w:tentative="0">
      <w:start w:val="1"/>
      <w:numFmt w:val="japaneseCounting"/>
      <w:pStyle w:val="40"/>
      <w:lvlText w:val="%1、"/>
      <w:lvlJc w:val="left"/>
      <w:pPr>
        <w:tabs>
          <w:tab w:val="left" w:pos="720"/>
        </w:tabs>
        <w:ind w:left="720" w:hanging="720"/>
      </w:pPr>
      <w:rPr>
        <w:rFonts w:hint="eastAsia"/>
      </w:rPr>
    </w:lvl>
    <w:lvl w:ilvl="1" w:tentative="0">
      <w:start w:val="1"/>
      <w:numFmt w:val="chineseCountingThousand"/>
      <w:lvlText w:val="（%2）"/>
      <w:lvlJc w:val="left"/>
      <w:pPr>
        <w:tabs>
          <w:tab w:val="left" w:pos="780"/>
        </w:tabs>
        <w:ind w:left="780" w:hanging="78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4">
    <w:nsid w:val="0BD9B3F7"/>
    <w:multiLevelType w:val="singleLevel"/>
    <w:tmpl w:val="0BD9B3F7"/>
    <w:lvl w:ilvl="0" w:tentative="0">
      <w:start w:val="4"/>
      <w:numFmt w:val="decimal"/>
      <w:lvlText w:val="%1."/>
      <w:lvlJc w:val="left"/>
      <w:pPr>
        <w:tabs>
          <w:tab w:val="left" w:pos="312"/>
        </w:tabs>
      </w:pPr>
    </w:lvl>
  </w:abstractNum>
  <w:abstractNum w:abstractNumId="5">
    <w:nsid w:val="42062CC4"/>
    <w:multiLevelType w:val="multilevel"/>
    <w:tmpl w:val="42062CC4"/>
    <w:lvl w:ilvl="0" w:tentative="0">
      <w:start w:val="1"/>
      <w:numFmt w:val="decimal"/>
      <w:pStyle w:val="4"/>
      <w:suff w:val="nothing"/>
      <w:lvlText w:val="第 %1 部分 "/>
      <w:lvlJc w:val="left"/>
      <w:rPr>
        <w:rFonts w:hint="eastAsia" w:ascii="黑体" w:hAnsi="宋体" w:eastAsia="黑体"/>
        <w:b/>
        <w:bCs/>
        <w:i w:val="0"/>
        <w:iCs w:val="0"/>
        <w:caps w:val="0"/>
        <w:smallCaps w:val="0"/>
        <w:strike w:val="0"/>
        <w:dstrike w:val="0"/>
        <w:vanish w:val="0"/>
        <w:spacing w:val="0"/>
        <w:position w:val="0"/>
        <w:u w:val="none"/>
        <w:vertAlign w:val="baseline"/>
      </w:rPr>
    </w:lvl>
    <w:lvl w:ilvl="1" w:tentative="0">
      <w:start w:val="1"/>
      <w:numFmt w:val="decimal"/>
      <w:pStyle w:val="5"/>
      <w:isLgl/>
      <w:suff w:val="nothing"/>
      <w:lvlText w:val="%1.%2 "/>
      <w:lvlJc w:val="left"/>
      <w:rPr>
        <w:rFonts w:hint="eastAsia"/>
      </w:rPr>
    </w:lvl>
    <w:lvl w:ilvl="2" w:tentative="0">
      <w:start w:val="1"/>
      <w:numFmt w:val="none"/>
      <w:pStyle w:val="6"/>
      <w:isLgl/>
      <w:suff w:val="nothing"/>
      <w:lvlText w:val=""/>
      <w:lvlJc w:val="left"/>
      <w:rPr>
        <w:rFonts w:hint="eastAsia" w:ascii="Arial Unicode MS" w:hAnsi="Arial Unicode MS" w:eastAsia="Arial Unicode MS"/>
        <w:sz w:val="24"/>
        <w:szCs w:val="24"/>
      </w:rPr>
    </w:lvl>
    <w:lvl w:ilvl="3" w:tentative="0">
      <w:start w:val="1"/>
      <w:numFmt w:val="none"/>
      <w:isLgl/>
      <w:suff w:val="nothing"/>
      <w:lvlText w:val=""/>
      <w:lvlJc w:val="left"/>
      <w:rPr>
        <w:rFonts w:hint="eastAsia"/>
      </w:rPr>
    </w:lvl>
    <w:lvl w:ilvl="4" w:tentative="0">
      <w:start w:val="1"/>
      <w:numFmt w:val="decimal"/>
      <w:isLgl/>
      <w:suff w:val="nothing"/>
      <w:lvlText w:val="%1.%2.%3.%4.%5 "/>
      <w:lvlJc w:val="left"/>
      <w:rPr>
        <w:rFonts w:hint="eastAsia"/>
        <w:sz w:val="28"/>
        <w:szCs w:val="28"/>
      </w:rPr>
    </w:lvl>
    <w:lvl w:ilvl="5" w:tentative="0">
      <w:start w:val="1"/>
      <w:numFmt w:val="none"/>
      <w:suff w:val="nothing"/>
      <w:lvlText w:val=""/>
      <w:lvlJc w:val="left"/>
      <w:rPr>
        <w:rFonts w:hint="eastAsia"/>
      </w:rPr>
    </w:lvl>
    <w:lvl w:ilvl="6" w:tentative="0">
      <w:start w:val="1"/>
      <w:numFmt w:val="none"/>
      <w:suff w:val="nothing"/>
      <w:lvlText w:val=""/>
      <w:lvlJc w:val="left"/>
      <w:rPr>
        <w:rFonts w:hint="eastAsia"/>
      </w:rPr>
    </w:lvl>
    <w:lvl w:ilvl="7" w:tentative="0">
      <w:start w:val="1"/>
      <w:numFmt w:val="none"/>
      <w:suff w:val="nothing"/>
      <w:lvlText w:val=""/>
      <w:lvlJc w:val="left"/>
      <w:rPr>
        <w:rFonts w:hint="eastAsia"/>
      </w:rPr>
    </w:lvl>
    <w:lvl w:ilvl="8" w:tentative="0">
      <w:start w:val="1"/>
      <w:numFmt w:val="none"/>
      <w:suff w:val="nothing"/>
      <w:lvlText w:val=""/>
      <w:lvlJc w:val="left"/>
      <w:rPr>
        <w:rFonts w:hint="eastAsia"/>
      </w:rPr>
    </w:lvl>
  </w:abstractNum>
  <w:abstractNum w:abstractNumId="6">
    <w:nsid w:val="42EE106E"/>
    <w:multiLevelType w:val="singleLevel"/>
    <w:tmpl w:val="42EE106E"/>
    <w:lvl w:ilvl="0" w:tentative="0">
      <w:start w:val="6"/>
      <w:numFmt w:val="chineseCounting"/>
      <w:suff w:val="nothing"/>
      <w:lvlText w:val="%1、"/>
      <w:lvlJc w:val="left"/>
      <w:rPr>
        <w:rFonts w:hint="eastAsia"/>
      </w:rPr>
    </w:lvl>
  </w:abstractNum>
  <w:num w:numId="1">
    <w:abstractNumId w:val="5"/>
  </w:num>
  <w:num w:numId="2">
    <w:abstractNumId w:val="3"/>
  </w:num>
  <w:num w:numId="3">
    <w:abstractNumId w:val="4"/>
  </w:num>
  <w:num w:numId="4">
    <w:abstractNumId w:val="6"/>
  </w:num>
  <w:num w:numId="5">
    <w:abstractNumId w:val="2"/>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8C2B60"/>
    <w:rsid w:val="00007A46"/>
    <w:rsid w:val="00030B28"/>
    <w:rsid w:val="000E659B"/>
    <w:rsid w:val="00104C00"/>
    <w:rsid w:val="00112EC7"/>
    <w:rsid w:val="001131E1"/>
    <w:rsid w:val="0013316D"/>
    <w:rsid w:val="001836B0"/>
    <w:rsid w:val="001A62A3"/>
    <w:rsid w:val="001C2266"/>
    <w:rsid w:val="001C6DBE"/>
    <w:rsid w:val="00223FF9"/>
    <w:rsid w:val="00236A29"/>
    <w:rsid w:val="00251537"/>
    <w:rsid w:val="00273F79"/>
    <w:rsid w:val="002D179D"/>
    <w:rsid w:val="002D555B"/>
    <w:rsid w:val="002E77A6"/>
    <w:rsid w:val="002F260B"/>
    <w:rsid w:val="0030538E"/>
    <w:rsid w:val="0033401E"/>
    <w:rsid w:val="003833BE"/>
    <w:rsid w:val="003C2F48"/>
    <w:rsid w:val="00437994"/>
    <w:rsid w:val="00444BD8"/>
    <w:rsid w:val="00463085"/>
    <w:rsid w:val="004C43D3"/>
    <w:rsid w:val="004E2115"/>
    <w:rsid w:val="005522A0"/>
    <w:rsid w:val="005B277D"/>
    <w:rsid w:val="005F6421"/>
    <w:rsid w:val="00601E4A"/>
    <w:rsid w:val="006020B2"/>
    <w:rsid w:val="006034D0"/>
    <w:rsid w:val="00620655"/>
    <w:rsid w:val="00637B6E"/>
    <w:rsid w:val="006651AE"/>
    <w:rsid w:val="006A4DF0"/>
    <w:rsid w:val="007071B0"/>
    <w:rsid w:val="007321DD"/>
    <w:rsid w:val="007848AA"/>
    <w:rsid w:val="007A0811"/>
    <w:rsid w:val="007A6673"/>
    <w:rsid w:val="007B2ACE"/>
    <w:rsid w:val="007F24BF"/>
    <w:rsid w:val="00807440"/>
    <w:rsid w:val="00895BAC"/>
    <w:rsid w:val="008B0FFA"/>
    <w:rsid w:val="008F12B4"/>
    <w:rsid w:val="008F23D1"/>
    <w:rsid w:val="009A0D08"/>
    <w:rsid w:val="009A1593"/>
    <w:rsid w:val="009A3624"/>
    <w:rsid w:val="009C3B9F"/>
    <w:rsid w:val="00A049CA"/>
    <w:rsid w:val="00A56CEE"/>
    <w:rsid w:val="00A62675"/>
    <w:rsid w:val="00A82C7F"/>
    <w:rsid w:val="00A93782"/>
    <w:rsid w:val="00AB63AE"/>
    <w:rsid w:val="00AB66BD"/>
    <w:rsid w:val="00AE4B26"/>
    <w:rsid w:val="00B962FA"/>
    <w:rsid w:val="00B97C3D"/>
    <w:rsid w:val="00BA11A3"/>
    <w:rsid w:val="00C2104D"/>
    <w:rsid w:val="00C6101F"/>
    <w:rsid w:val="00C7277A"/>
    <w:rsid w:val="00CA569C"/>
    <w:rsid w:val="00D24DA0"/>
    <w:rsid w:val="00D267EB"/>
    <w:rsid w:val="00D30FC1"/>
    <w:rsid w:val="00D6258E"/>
    <w:rsid w:val="00D77EF2"/>
    <w:rsid w:val="00D94153"/>
    <w:rsid w:val="00DD65B3"/>
    <w:rsid w:val="00E97834"/>
    <w:rsid w:val="00E97AD1"/>
    <w:rsid w:val="00EA4E51"/>
    <w:rsid w:val="00ED36E0"/>
    <w:rsid w:val="00EE0228"/>
    <w:rsid w:val="00F05F09"/>
    <w:rsid w:val="00F23000"/>
    <w:rsid w:val="00F35C72"/>
    <w:rsid w:val="00F57B43"/>
    <w:rsid w:val="00FD0CA4"/>
    <w:rsid w:val="00FD51BB"/>
    <w:rsid w:val="011052E8"/>
    <w:rsid w:val="0128288F"/>
    <w:rsid w:val="01311872"/>
    <w:rsid w:val="013F6E0E"/>
    <w:rsid w:val="016064C0"/>
    <w:rsid w:val="01676D4A"/>
    <w:rsid w:val="017F040F"/>
    <w:rsid w:val="018B0207"/>
    <w:rsid w:val="01990F2B"/>
    <w:rsid w:val="01AA116D"/>
    <w:rsid w:val="01D31064"/>
    <w:rsid w:val="01DE356F"/>
    <w:rsid w:val="01DF6DB2"/>
    <w:rsid w:val="01E63B91"/>
    <w:rsid w:val="020F219A"/>
    <w:rsid w:val="022063A8"/>
    <w:rsid w:val="022A0BA8"/>
    <w:rsid w:val="0297130F"/>
    <w:rsid w:val="02AC2E4F"/>
    <w:rsid w:val="02B20A3E"/>
    <w:rsid w:val="02BA1D10"/>
    <w:rsid w:val="031C7446"/>
    <w:rsid w:val="03473180"/>
    <w:rsid w:val="0358711F"/>
    <w:rsid w:val="03891D7D"/>
    <w:rsid w:val="038B5130"/>
    <w:rsid w:val="038C4589"/>
    <w:rsid w:val="038C7990"/>
    <w:rsid w:val="03FE5551"/>
    <w:rsid w:val="0402065D"/>
    <w:rsid w:val="040B5716"/>
    <w:rsid w:val="040E6DD3"/>
    <w:rsid w:val="042F081E"/>
    <w:rsid w:val="04303209"/>
    <w:rsid w:val="0446729B"/>
    <w:rsid w:val="04B92A32"/>
    <w:rsid w:val="04BB298F"/>
    <w:rsid w:val="04C91435"/>
    <w:rsid w:val="04FD4EEE"/>
    <w:rsid w:val="054E69CD"/>
    <w:rsid w:val="055D4A0F"/>
    <w:rsid w:val="05AF36EC"/>
    <w:rsid w:val="05B44643"/>
    <w:rsid w:val="05CA798E"/>
    <w:rsid w:val="06080AA7"/>
    <w:rsid w:val="06116015"/>
    <w:rsid w:val="061767ED"/>
    <w:rsid w:val="06273C8F"/>
    <w:rsid w:val="0628129E"/>
    <w:rsid w:val="06472609"/>
    <w:rsid w:val="06480C23"/>
    <w:rsid w:val="064C08E2"/>
    <w:rsid w:val="06655A71"/>
    <w:rsid w:val="0673568F"/>
    <w:rsid w:val="06777D26"/>
    <w:rsid w:val="06892AF1"/>
    <w:rsid w:val="068D3743"/>
    <w:rsid w:val="06A5570A"/>
    <w:rsid w:val="06CC7B38"/>
    <w:rsid w:val="06CD79A1"/>
    <w:rsid w:val="06EF45F7"/>
    <w:rsid w:val="06FF7A69"/>
    <w:rsid w:val="07265CA2"/>
    <w:rsid w:val="075B4363"/>
    <w:rsid w:val="07753830"/>
    <w:rsid w:val="07875D85"/>
    <w:rsid w:val="078851F6"/>
    <w:rsid w:val="07A55BB0"/>
    <w:rsid w:val="07AF3C21"/>
    <w:rsid w:val="07B867A8"/>
    <w:rsid w:val="07E635C7"/>
    <w:rsid w:val="07F71B82"/>
    <w:rsid w:val="07FC3354"/>
    <w:rsid w:val="082F505C"/>
    <w:rsid w:val="083507DC"/>
    <w:rsid w:val="08411FA0"/>
    <w:rsid w:val="087A0A7F"/>
    <w:rsid w:val="08A168BA"/>
    <w:rsid w:val="08AB6E1D"/>
    <w:rsid w:val="08E50672"/>
    <w:rsid w:val="08E965DF"/>
    <w:rsid w:val="09234A42"/>
    <w:rsid w:val="094074F0"/>
    <w:rsid w:val="09515D71"/>
    <w:rsid w:val="09790953"/>
    <w:rsid w:val="097B40EA"/>
    <w:rsid w:val="097D30AF"/>
    <w:rsid w:val="09B76875"/>
    <w:rsid w:val="09C14C7E"/>
    <w:rsid w:val="09C300D6"/>
    <w:rsid w:val="09C33992"/>
    <w:rsid w:val="09E55C2B"/>
    <w:rsid w:val="09F02CFD"/>
    <w:rsid w:val="09FA5F1F"/>
    <w:rsid w:val="0A1C34C0"/>
    <w:rsid w:val="0A575897"/>
    <w:rsid w:val="0A772C29"/>
    <w:rsid w:val="0A782E73"/>
    <w:rsid w:val="0A8161F3"/>
    <w:rsid w:val="0A8D6879"/>
    <w:rsid w:val="0A98335E"/>
    <w:rsid w:val="0ACE5E48"/>
    <w:rsid w:val="0ADC052F"/>
    <w:rsid w:val="0B010F41"/>
    <w:rsid w:val="0B260C38"/>
    <w:rsid w:val="0B35569F"/>
    <w:rsid w:val="0B7E20DF"/>
    <w:rsid w:val="0B994A4D"/>
    <w:rsid w:val="0BB24FC7"/>
    <w:rsid w:val="0BB3388B"/>
    <w:rsid w:val="0BF1246A"/>
    <w:rsid w:val="0BF47F07"/>
    <w:rsid w:val="0C48169B"/>
    <w:rsid w:val="0C765568"/>
    <w:rsid w:val="0C8C2782"/>
    <w:rsid w:val="0CB9334D"/>
    <w:rsid w:val="0CC819A3"/>
    <w:rsid w:val="0CE077CA"/>
    <w:rsid w:val="0D121618"/>
    <w:rsid w:val="0D6273C0"/>
    <w:rsid w:val="0D705552"/>
    <w:rsid w:val="0D886FC1"/>
    <w:rsid w:val="0DA140E0"/>
    <w:rsid w:val="0DB216EB"/>
    <w:rsid w:val="0DC80AE4"/>
    <w:rsid w:val="0DFF50DF"/>
    <w:rsid w:val="0E123720"/>
    <w:rsid w:val="0E383B46"/>
    <w:rsid w:val="0E3D6255"/>
    <w:rsid w:val="0E3F4181"/>
    <w:rsid w:val="0E51430C"/>
    <w:rsid w:val="0E5E0007"/>
    <w:rsid w:val="0E6470EA"/>
    <w:rsid w:val="0E7B1AB2"/>
    <w:rsid w:val="0EB272B2"/>
    <w:rsid w:val="0ECF2D16"/>
    <w:rsid w:val="0EFB1DE5"/>
    <w:rsid w:val="0F0D3D5A"/>
    <w:rsid w:val="0F4B04E9"/>
    <w:rsid w:val="0F7313DF"/>
    <w:rsid w:val="0F8741E9"/>
    <w:rsid w:val="0FAF3196"/>
    <w:rsid w:val="0FC816FD"/>
    <w:rsid w:val="0FDD51C1"/>
    <w:rsid w:val="100C0E74"/>
    <w:rsid w:val="10445CDD"/>
    <w:rsid w:val="1051309D"/>
    <w:rsid w:val="106C436D"/>
    <w:rsid w:val="106E0991"/>
    <w:rsid w:val="106F5344"/>
    <w:rsid w:val="107D46FD"/>
    <w:rsid w:val="10BD1D3E"/>
    <w:rsid w:val="10DC1A0D"/>
    <w:rsid w:val="11200C68"/>
    <w:rsid w:val="112B6F74"/>
    <w:rsid w:val="114E21A3"/>
    <w:rsid w:val="11592476"/>
    <w:rsid w:val="11606AE5"/>
    <w:rsid w:val="116B615B"/>
    <w:rsid w:val="11904A2F"/>
    <w:rsid w:val="11916D37"/>
    <w:rsid w:val="11A812B3"/>
    <w:rsid w:val="11E27123"/>
    <w:rsid w:val="120D1D12"/>
    <w:rsid w:val="121C51D9"/>
    <w:rsid w:val="124936AA"/>
    <w:rsid w:val="1250446D"/>
    <w:rsid w:val="127225DE"/>
    <w:rsid w:val="12771EF0"/>
    <w:rsid w:val="12864374"/>
    <w:rsid w:val="12920AD9"/>
    <w:rsid w:val="12934340"/>
    <w:rsid w:val="12C27712"/>
    <w:rsid w:val="12EE267C"/>
    <w:rsid w:val="13036894"/>
    <w:rsid w:val="130724D5"/>
    <w:rsid w:val="130779C3"/>
    <w:rsid w:val="134A1183"/>
    <w:rsid w:val="134A5358"/>
    <w:rsid w:val="135A34ED"/>
    <w:rsid w:val="136C467D"/>
    <w:rsid w:val="137B0DB9"/>
    <w:rsid w:val="139F3E90"/>
    <w:rsid w:val="13A32863"/>
    <w:rsid w:val="140B3034"/>
    <w:rsid w:val="140B6339"/>
    <w:rsid w:val="14180313"/>
    <w:rsid w:val="141F4AAD"/>
    <w:rsid w:val="142B0675"/>
    <w:rsid w:val="144B5497"/>
    <w:rsid w:val="145E0137"/>
    <w:rsid w:val="146A5D2C"/>
    <w:rsid w:val="14833069"/>
    <w:rsid w:val="14893C0C"/>
    <w:rsid w:val="149E1CFE"/>
    <w:rsid w:val="14B21E49"/>
    <w:rsid w:val="14D93AD4"/>
    <w:rsid w:val="14E238D5"/>
    <w:rsid w:val="15123C1C"/>
    <w:rsid w:val="152612F9"/>
    <w:rsid w:val="152F0D51"/>
    <w:rsid w:val="15397AC9"/>
    <w:rsid w:val="15647631"/>
    <w:rsid w:val="158669AB"/>
    <w:rsid w:val="15981FB4"/>
    <w:rsid w:val="15A0619E"/>
    <w:rsid w:val="15D70E84"/>
    <w:rsid w:val="15F170FF"/>
    <w:rsid w:val="161556B7"/>
    <w:rsid w:val="16222214"/>
    <w:rsid w:val="16225D81"/>
    <w:rsid w:val="163B52CD"/>
    <w:rsid w:val="164173EC"/>
    <w:rsid w:val="1649695B"/>
    <w:rsid w:val="16715406"/>
    <w:rsid w:val="167C2417"/>
    <w:rsid w:val="168318C8"/>
    <w:rsid w:val="1687716E"/>
    <w:rsid w:val="169B3BE0"/>
    <w:rsid w:val="16B52472"/>
    <w:rsid w:val="16C23B99"/>
    <w:rsid w:val="16D37C71"/>
    <w:rsid w:val="16E04D7B"/>
    <w:rsid w:val="16E64F85"/>
    <w:rsid w:val="17111ED0"/>
    <w:rsid w:val="17733041"/>
    <w:rsid w:val="17BA74F5"/>
    <w:rsid w:val="17BF3781"/>
    <w:rsid w:val="183A0A39"/>
    <w:rsid w:val="18617367"/>
    <w:rsid w:val="18731802"/>
    <w:rsid w:val="189031DF"/>
    <w:rsid w:val="189F4DA1"/>
    <w:rsid w:val="18A0599C"/>
    <w:rsid w:val="18E20B13"/>
    <w:rsid w:val="1908001D"/>
    <w:rsid w:val="191E5EE9"/>
    <w:rsid w:val="194E40F7"/>
    <w:rsid w:val="195A0D5D"/>
    <w:rsid w:val="196C11E8"/>
    <w:rsid w:val="19901A4D"/>
    <w:rsid w:val="19BB2436"/>
    <w:rsid w:val="19C05583"/>
    <w:rsid w:val="19CC1F25"/>
    <w:rsid w:val="19CF2369"/>
    <w:rsid w:val="19D67789"/>
    <w:rsid w:val="1A0063EE"/>
    <w:rsid w:val="1A6C6352"/>
    <w:rsid w:val="1A7D5020"/>
    <w:rsid w:val="1A8559D3"/>
    <w:rsid w:val="1AA30516"/>
    <w:rsid w:val="1AA30C30"/>
    <w:rsid w:val="1AAE2A8F"/>
    <w:rsid w:val="1AB351B0"/>
    <w:rsid w:val="1AC05E6E"/>
    <w:rsid w:val="1ACF220A"/>
    <w:rsid w:val="1AE42834"/>
    <w:rsid w:val="1AF92757"/>
    <w:rsid w:val="1B0429BD"/>
    <w:rsid w:val="1B403D8F"/>
    <w:rsid w:val="1B5F2139"/>
    <w:rsid w:val="1B6963D0"/>
    <w:rsid w:val="1B8B4E7E"/>
    <w:rsid w:val="1BB454ED"/>
    <w:rsid w:val="1BC173B6"/>
    <w:rsid w:val="1BCD67ED"/>
    <w:rsid w:val="1C082198"/>
    <w:rsid w:val="1C0A4790"/>
    <w:rsid w:val="1C1570D4"/>
    <w:rsid w:val="1C7B125F"/>
    <w:rsid w:val="1C7F0C0E"/>
    <w:rsid w:val="1C8D387F"/>
    <w:rsid w:val="1C90374F"/>
    <w:rsid w:val="1CC632CD"/>
    <w:rsid w:val="1CC70A8C"/>
    <w:rsid w:val="1CC86719"/>
    <w:rsid w:val="1CE476BA"/>
    <w:rsid w:val="1D066402"/>
    <w:rsid w:val="1D086572"/>
    <w:rsid w:val="1D1C2470"/>
    <w:rsid w:val="1D1D0B3E"/>
    <w:rsid w:val="1D272C84"/>
    <w:rsid w:val="1D4F03BA"/>
    <w:rsid w:val="1DBC2A98"/>
    <w:rsid w:val="1DFC5788"/>
    <w:rsid w:val="1E2F087A"/>
    <w:rsid w:val="1E4863E4"/>
    <w:rsid w:val="1E8F57F6"/>
    <w:rsid w:val="1E9D358F"/>
    <w:rsid w:val="1EE0402D"/>
    <w:rsid w:val="1EF700FA"/>
    <w:rsid w:val="1F0336E4"/>
    <w:rsid w:val="1F950D1B"/>
    <w:rsid w:val="1F9E4095"/>
    <w:rsid w:val="1FC5400E"/>
    <w:rsid w:val="1FDC6302"/>
    <w:rsid w:val="1FF23313"/>
    <w:rsid w:val="1FF36668"/>
    <w:rsid w:val="1FF5033D"/>
    <w:rsid w:val="1FF84801"/>
    <w:rsid w:val="200F36A4"/>
    <w:rsid w:val="20291923"/>
    <w:rsid w:val="20512740"/>
    <w:rsid w:val="20697697"/>
    <w:rsid w:val="208F3BD4"/>
    <w:rsid w:val="20975C93"/>
    <w:rsid w:val="209D75E5"/>
    <w:rsid w:val="21007685"/>
    <w:rsid w:val="210C1950"/>
    <w:rsid w:val="210F56C6"/>
    <w:rsid w:val="21317F60"/>
    <w:rsid w:val="215A34DC"/>
    <w:rsid w:val="21844791"/>
    <w:rsid w:val="21953551"/>
    <w:rsid w:val="21B65DF4"/>
    <w:rsid w:val="21C002BF"/>
    <w:rsid w:val="21CB7ECD"/>
    <w:rsid w:val="21DA3D9C"/>
    <w:rsid w:val="21DE5D5B"/>
    <w:rsid w:val="221B72B2"/>
    <w:rsid w:val="22525A32"/>
    <w:rsid w:val="22561196"/>
    <w:rsid w:val="22750E06"/>
    <w:rsid w:val="228D4B01"/>
    <w:rsid w:val="22A278C2"/>
    <w:rsid w:val="22E671FB"/>
    <w:rsid w:val="23163B00"/>
    <w:rsid w:val="232B66BC"/>
    <w:rsid w:val="232C64C2"/>
    <w:rsid w:val="23534095"/>
    <w:rsid w:val="23AE0DC4"/>
    <w:rsid w:val="23CA5A7F"/>
    <w:rsid w:val="23D67C84"/>
    <w:rsid w:val="23F43FE9"/>
    <w:rsid w:val="24061A78"/>
    <w:rsid w:val="24485783"/>
    <w:rsid w:val="247907B1"/>
    <w:rsid w:val="24D86100"/>
    <w:rsid w:val="24E62909"/>
    <w:rsid w:val="24F076EE"/>
    <w:rsid w:val="251F156D"/>
    <w:rsid w:val="25232C9F"/>
    <w:rsid w:val="25391A3D"/>
    <w:rsid w:val="2547340D"/>
    <w:rsid w:val="255B7DC5"/>
    <w:rsid w:val="25697A02"/>
    <w:rsid w:val="256F3E50"/>
    <w:rsid w:val="25796D6F"/>
    <w:rsid w:val="258D7C55"/>
    <w:rsid w:val="25A30E36"/>
    <w:rsid w:val="25AF3465"/>
    <w:rsid w:val="25C62D98"/>
    <w:rsid w:val="25D61E70"/>
    <w:rsid w:val="25DD2A1A"/>
    <w:rsid w:val="25E61399"/>
    <w:rsid w:val="2648440A"/>
    <w:rsid w:val="26501F61"/>
    <w:rsid w:val="26735763"/>
    <w:rsid w:val="2677361A"/>
    <w:rsid w:val="26794DFB"/>
    <w:rsid w:val="268A6016"/>
    <w:rsid w:val="268F3A1D"/>
    <w:rsid w:val="2695366E"/>
    <w:rsid w:val="26AD067C"/>
    <w:rsid w:val="26C63A75"/>
    <w:rsid w:val="26EB2A3E"/>
    <w:rsid w:val="27177F15"/>
    <w:rsid w:val="27232167"/>
    <w:rsid w:val="27387BA7"/>
    <w:rsid w:val="276463C3"/>
    <w:rsid w:val="27725767"/>
    <w:rsid w:val="27774E1B"/>
    <w:rsid w:val="27971FC5"/>
    <w:rsid w:val="279954B7"/>
    <w:rsid w:val="27A114FE"/>
    <w:rsid w:val="27EE1FF2"/>
    <w:rsid w:val="280226D1"/>
    <w:rsid w:val="282926BB"/>
    <w:rsid w:val="28296538"/>
    <w:rsid w:val="283A1470"/>
    <w:rsid w:val="286E3ACB"/>
    <w:rsid w:val="2875327C"/>
    <w:rsid w:val="288D118B"/>
    <w:rsid w:val="28A55954"/>
    <w:rsid w:val="28B41C4C"/>
    <w:rsid w:val="28EA64D0"/>
    <w:rsid w:val="291A6670"/>
    <w:rsid w:val="29375306"/>
    <w:rsid w:val="295A2094"/>
    <w:rsid w:val="295E7317"/>
    <w:rsid w:val="29A16D3D"/>
    <w:rsid w:val="29CB24C0"/>
    <w:rsid w:val="29F25144"/>
    <w:rsid w:val="2A141EC6"/>
    <w:rsid w:val="2A31758E"/>
    <w:rsid w:val="2A33111B"/>
    <w:rsid w:val="2AA638C6"/>
    <w:rsid w:val="2AB73A6B"/>
    <w:rsid w:val="2ABA3051"/>
    <w:rsid w:val="2AC87B50"/>
    <w:rsid w:val="2ACB1585"/>
    <w:rsid w:val="2ACC611E"/>
    <w:rsid w:val="2AE016E9"/>
    <w:rsid w:val="2AE45E7A"/>
    <w:rsid w:val="2AE53F8B"/>
    <w:rsid w:val="2AF45F30"/>
    <w:rsid w:val="2B01293A"/>
    <w:rsid w:val="2B0E6D24"/>
    <w:rsid w:val="2B4170DF"/>
    <w:rsid w:val="2B717E6A"/>
    <w:rsid w:val="2B8949E1"/>
    <w:rsid w:val="2BD83724"/>
    <w:rsid w:val="2BDC0DA6"/>
    <w:rsid w:val="2BEF4539"/>
    <w:rsid w:val="2BF943CE"/>
    <w:rsid w:val="2C0962EE"/>
    <w:rsid w:val="2C1219EC"/>
    <w:rsid w:val="2C1C0216"/>
    <w:rsid w:val="2C52330B"/>
    <w:rsid w:val="2C683B55"/>
    <w:rsid w:val="2C855575"/>
    <w:rsid w:val="2C90197F"/>
    <w:rsid w:val="2CA928E9"/>
    <w:rsid w:val="2CA95D57"/>
    <w:rsid w:val="2CCA41EB"/>
    <w:rsid w:val="2D196FB2"/>
    <w:rsid w:val="2D1E186D"/>
    <w:rsid w:val="2D2B2515"/>
    <w:rsid w:val="2D330F3B"/>
    <w:rsid w:val="2D331C47"/>
    <w:rsid w:val="2D486B9A"/>
    <w:rsid w:val="2D656192"/>
    <w:rsid w:val="2D711514"/>
    <w:rsid w:val="2D8023AA"/>
    <w:rsid w:val="2D985AF1"/>
    <w:rsid w:val="2DC22CB3"/>
    <w:rsid w:val="2DC2784B"/>
    <w:rsid w:val="2DD358F8"/>
    <w:rsid w:val="2DEC3A13"/>
    <w:rsid w:val="2DED0EA3"/>
    <w:rsid w:val="2E16701F"/>
    <w:rsid w:val="2E1E6FDC"/>
    <w:rsid w:val="2E3D188E"/>
    <w:rsid w:val="2E733DF1"/>
    <w:rsid w:val="2EB331A9"/>
    <w:rsid w:val="2EB46585"/>
    <w:rsid w:val="2EF50A3E"/>
    <w:rsid w:val="2F66207A"/>
    <w:rsid w:val="2F7D7EA4"/>
    <w:rsid w:val="2F8E3B01"/>
    <w:rsid w:val="2FC677D8"/>
    <w:rsid w:val="2FF07B10"/>
    <w:rsid w:val="2FFE11B5"/>
    <w:rsid w:val="301A1E0D"/>
    <w:rsid w:val="30236ED6"/>
    <w:rsid w:val="303904E6"/>
    <w:rsid w:val="30583F4E"/>
    <w:rsid w:val="305B71E9"/>
    <w:rsid w:val="30650FC2"/>
    <w:rsid w:val="306B11EB"/>
    <w:rsid w:val="307F7AC7"/>
    <w:rsid w:val="30A97D5C"/>
    <w:rsid w:val="30B118FA"/>
    <w:rsid w:val="30B47628"/>
    <w:rsid w:val="30B739E0"/>
    <w:rsid w:val="30C77F04"/>
    <w:rsid w:val="310B0CD4"/>
    <w:rsid w:val="31355BAD"/>
    <w:rsid w:val="3136141C"/>
    <w:rsid w:val="317C18E3"/>
    <w:rsid w:val="31C5360B"/>
    <w:rsid w:val="31D1622E"/>
    <w:rsid w:val="320638BE"/>
    <w:rsid w:val="32093FBF"/>
    <w:rsid w:val="32187817"/>
    <w:rsid w:val="32505913"/>
    <w:rsid w:val="32713713"/>
    <w:rsid w:val="328C550A"/>
    <w:rsid w:val="328C7C7D"/>
    <w:rsid w:val="32A33944"/>
    <w:rsid w:val="32AE66C9"/>
    <w:rsid w:val="32BC26E4"/>
    <w:rsid w:val="32EB3F77"/>
    <w:rsid w:val="32F4545A"/>
    <w:rsid w:val="32F523A7"/>
    <w:rsid w:val="33022884"/>
    <w:rsid w:val="33285279"/>
    <w:rsid w:val="334676D5"/>
    <w:rsid w:val="338F77E0"/>
    <w:rsid w:val="33A335C0"/>
    <w:rsid w:val="33A93FD2"/>
    <w:rsid w:val="33AA14D7"/>
    <w:rsid w:val="33AA3E10"/>
    <w:rsid w:val="33BE6970"/>
    <w:rsid w:val="33D85AC7"/>
    <w:rsid w:val="33E75130"/>
    <w:rsid w:val="33F848AC"/>
    <w:rsid w:val="34091384"/>
    <w:rsid w:val="341D19AD"/>
    <w:rsid w:val="342C3501"/>
    <w:rsid w:val="34364252"/>
    <w:rsid w:val="348F7295"/>
    <w:rsid w:val="349178C2"/>
    <w:rsid w:val="34A8071E"/>
    <w:rsid w:val="34B81ADB"/>
    <w:rsid w:val="34FB6DF1"/>
    <w:rsid w:val="35321868"/>
    <w:rsid w:val="35423643"/>
    <w:rsid w:val="354939FA"/>
    <w:rsid w:val="354D3B73"/>
    <w:rsid w:val="3553498F"/>
    <w:rsid w:val="3555351F"/>
    <w:rsid w:val="356E4380"/>
    <w:rsid w:val="357628D9"/>
    <w:rsid w:val="35812295"/>
    <w:rsid w:val="35B353BC"/>
    <w:rsid w:val="35CD59B5"/>
    <w:rsid w:val="35CE3C62"/>
    <w:rsid w:val="35D14F18"/>
    <w:rsid w:val="35FA7CE2"/>
    <w:rsid w:val="361B7FC5"/>
    <w:rsid w:val="361F67D0"/>
    <w:rsid w:val="36274583"/>
    <w:rsid w:val="36295829"/>
    <w:rsid w:val="36460534"/>
    <w:rsid w:val="36574737"/>
    <w:rsid w:val="36740C11"/>
    <w:rsid w:val="36BA021F"/>
    <w:rsid w:val="36BA760E"/>
    <w:rsid w:val="36CA4722"/>
    <w:rsid w:val="36EF207B"/>
    <w:rsid w:val="36F13B2C"/>
    <w:rsid w:val="371214F3"/>
    <w:rsid w:val="37327C84"/>
    <w:rsid w:val="37455C18"/>
    <w:rsid w:val="375230F9"/>
    <w:rsid w:val="37617267"/>
    <w:rsid w:val="379E215C"/>
    <w:rsid w:val="37B16A79"/>
    <w:rsid w:val="37D953C7"/>
    <w:rsid w:val="37EE3DAB"/>
    <w:rsid w:val="37EF48DD"/>
    <w:rsid w:val="37F71C34"/>
    <w:rsid w:val="37FC35B2"/>
    <w:rsid w:val="38440951"/>
    <w:rsid w:val="384B7534"/>
    <w:rsid w:val="38607EBF"/>
    <w:rsid w:val="38846310"/>
    <w:rsid w:val="38847EB5"/>
    <w:rsid w:val="38AC79EF"/>
    <w:rsid w:val="38B63B23"/>
    <w:rsid w:val="38B76B34"/>
    <w:rsid w:val="38C528CC"/>
    <w:rsid w:val="38EA2818"/>
    <w:rsid w:val="39123526"/>
    <w:rsid w:val="392E1E6A"/>
    <w:rsid w:val="3956135A"/>
    <w:rsid w:val="396A7DA2"/>
    <w:rsid w:val="39790516"/>
    <w:rsid w:val="397D6F6E"/>
    <w:rsid w:val="398361C4"/>
    <w:rsid w:val="3994375F"/>
    <w:rsid w:val="399B0311"/>
    <w:rsid w:val="3A012820"/>
    <w:rsid w:val="3A056A3C"/>
    <w:rsid w:val="3A2F5373"/>
    <w:rsid w:val="3A3B2956"/>
    <w:rsid w:val="3A454A5B"/>
    <w:rsid w:val="3A470E4A"/>
    <w:rsid w:val="3A763EB6"/>
    <w:rsid w:val="3AA273F6"/>
    <w:rsid w:val="3ABA248E"/>
    <w:rsid w:val="3AD07C54"/>
    <w:rsid w:val="3AF71353"/>
    <w:rsid w:val="3B0543EB"/>
    <w:rsid w:val="3B126494"/>
    <w:rsid w:val="3B224E18"/>
    <w:rsid w:val="3B2572D5"/>
    <w:rsid w:val="3B3376A2"/>
    <w:rsid w:val="3B50637C"/>
    <w:rsid w:val="3B5C0AF1"/>
    <w:rsid w:val="3B8F1D06"/>
    <w:rsid w:val="3B9816A2"/>
    <w:rsid w:val="3BA4425A"/>
    <w:rsid w:val="3BCF59A7"/>
    <w:rsid w:val="3C1D0222"/>
    <w:rsid w:val="3C34221F"/>
    <w:rsid w:val="3C37723C"/>
    <w:rsid w:val="3C6142EE"/>
    <w:rsid w:val="3C7371F1"/>
    <w:rsid w:val="3C7E0069"/>
    <w:rsid w:val="3C8D5BBD"/>
    <w:rsid w:val="3C911ED8"/>
    <w:rsid w:val="3CAF528D"/>
    <w:rsid w:val="3CB52A2C"/>
    <w:rsid w:val="3CC02F5B"/>
    <w:rsid w:val="3CE71B70"/>
    <w:rsid w:val="3D4B4A38"/>
    <w:rsid w:val="3D605EA2"/>
    <w:rsid w:val="3D7B3547"/>
    <w:rsid w:val="3D870315"/>
    <w:rsid w:val="3DCD7B50"/>
    <w:rsid w:val="3DE34B09"/>
    <w:rsid w:val="3DEE6DD6"/>
    <w:rsid w:val="3E0A6D87"/>
    <w:rsid w:val="3E8D1BE2"/>
    <w:rsid w:val="3E9A7EFA"/>
    <w:rsid w:val="3ED23D38"/>
    <w:rsid w:val="3EF3111F"/>
    <w:rsid w:val="3EF7286A"/>
    <w:rsid w:val="3F0709F4"/>
    <w:rsid w:val="3F1F4E99"/>
    <w:rsid w:val="3F3F3C4B"/>
    <w:rsid w:val="3F6524B3"/>
    <w:rsid w:val="3F8A48D9"/>
    <w:rsid w:val="3F8F361B"/>
    <w:rsid w:val="3FAA3FD9"/>
    <w:rsid w:val="3FBF637D"/>
    <w:rsid w:val="3FC92B70"/>
    <w:rsid w:val="3FE34C00"/>
    <w:rsid w:val="3FF51D33"/>
    <w:rsid w:val="3FF61AA9"/>
    <w:rsid w:val="3FF85392"/>
    <w:rsid w:val="3FFF7F8B"/>
    <w:rsid w:val="400B2911"/>
    <w:rsid w:val="404139C8"/>
    <w:rsid w:val="4049792A"/>
    <w:rsid w:val="404B473D"/>
    <w:rsid w:val="406652D2"/>
    <w:rsid w:val="40686007"/>
    <w:rsid w:val="40921FD6"/>
    <w:rsid w:val="409235BF"/>
    <w:rsid w:val="40F6716A"/>
    <w:rsid w:val="410369AE"/>
    <w:rsid w:val="410E6B45"/>
    <w:rsid w:val="41186393"/>
    <w:rsid w:val="414D2A36"/>
    <w:rsid w:val="415A20CD"/>
    <w:rsid w:val="41600FB8"/>
    <w:rsid w:val="416146D9"/>
    <w:rsid w:val="417E0BD2"/>
    <w:rsid w:val="418F19FE"/>
    <w:rsid w:val="41F27961"/>
    <w:rsid w:val="423A080D"/>
    <w:rsid w:val="42414910"/>
    <w:rsid w:val="42587ACD"/>
    <w:rsid w:val="42767EE7"/>
    <w:rsid w:val="428555BA"/>
    <w:rsid w:val="428E221D"/>
    <w:rsid w:val="42EE6E6B"/>
    <w:rsid w:val="42FC0E1E"/>
    <w:rsid w:val="4305028C"/>
    <w:rsid w:val="43187518"/>
    <w:rsid w:val="43D1232D"/>
    <w:rsid w:val="43DB50BA"/>
    <w:rsid w:val="43E37FB6"/>
    <w:rsid w:val="44086895"/>
    <w:rsid w:val="44215CEC"/>
    <w:rsid w:val="442A5031"/>
    <w:rsid w:val="44D22523"/>
    <w:rsid w:val="44EF63E4"/>
    <w:rsid w:val="45013E51"/>
    <w:rsid w:val="45595323"/>
    <w:rsid w:val="455F2C13"/>
    <w:rsid w:val="457E2C9F"/>
    <w:rsid w:val="45BD0711"/>
    <w:rsid w:val="45BE0E65"/>
    <w:rsid w:val="45C85682"/>
    <w:rsid w:val="45DA79BE"/>
    <w:rsid w:val="46152931"/>
    <w:rsid w:val="4633526C"/>
    <w:rsid w:val="4642091D"/>
    <w:rsid w:val="46721C9F"/>
    <w:rsid w:val="4688020F"/>
    <w:rsid w:val="46B11461"/>
    <w:rsid w:val="46DC6229"/>
    <w:rsid w:val="46E07961"/>
    <w:rsid w:val="46E80892"/>
    <w:rsid w:val="46ED568A"/>
    <w:rsid w:val="46EF4A74"/>
    <w:rsid w:val="472F3219"/>
    <w:rsid w:val="4748193F"/>
    <w:rsid w:val="47647917"/>
    <w:rsid w:val="47C554D2"/>
    <w:rsid w:val="47D45E78"/>
    <w:rsid w:val="47EE3F25"/>
    <w:rsid w:val="483335A7"/>
    <w:rsid w:val="48344896"/>
    <w:rsid w:val="483E0F80"/>
    <w:rsid w:val="485205BB"/>
    <w:rsid w:val="486D0780"/>
    <w:rsid w:val="48743415"/>
    <w:rsid w:val="48762D84"/>
    <w:rsid w:val="48A36B81"/>
    <w:rsid w:val="48AA326B"/>
    <w:rsid w:val="48BA65EC"/>
    <w:rsid w:val="490F2B6E"/>
    <w:rsid w:val="495F73B9"/>
    <w:rsid w:val="49727EE3"/>
    <w:rsid w:val="497971F2"/>
    <w:rsid w:val="499C3363"/>
    <w:rsid w:val="49CA6076"/>
    <w:rsid w:val="49D5285B"/>
    <w:rsid w:val="49FA4660"/>
    <w:rsid w:val="4A044CC1"/>
    <w:rsid w:val="4A11062E"/>
    <w:rsid w:val="4A42284D"/>
    <w:rsid w:val="4A5425E2"/>
    <w:rsid w:val="4A8D09C1"/>
    <w:rsid w:val="4AD80EDA"/>
    <w:rsid w:val="4AEE26A5"/>
    <w:rsid w:val="4B5F1790"/>
    <w:rsid w:val="4BAB1564"/>
    <w:rsid w:val="4BEB36BB"/>
    <w:rsid w:val="4C047BFF"/>
    <w:rsid w:val="4C12349F"/>
    <w:rsid w:val="4C290CFD"/>
    <w:rsid w:val="4C317DC6"/>
    <w:rsid w:val="4C321074"/>
    <w:rsid w:val="4C377CD8"/>
    <w:rsid w:val="4C5B03F8"/>
    <w:rsid w:val="4C761305"/>
    <w:rsid w:val="4C7B582D"/>
    <w:rsid w:val="4C896ACE"/>
    <w:rsid w:val="4C916F9E"/>
    <w:rsid w:val="4C9A1E12"/>
    <w:rsid w:val="4CE35EE3"/>
    <w:rsid w:val="4CF40BC1"/>
    <w:rsid w:val="4D00252F"/>
    <w:rsid w:val="4D11103A"/>
    <w:rsid w:val="4D29584E"/>
    <w:rsid w:val="4D7268A5"/>
    <w:rsid w:val="4D905FAC"/>
    <w:rsid w:val="4DC742D9"/>
    <w:rsid w:val="4DE56BB7"/>
    <w:rsid w:val="4E1E0CDF"/>
    <w:rsid w:val="4E1E2C44"/>
    <w:rsid w:val="4E430E41"/>
    <w:rsid w:val="4E6F3667"/>
    <w:rsid w:val="4EAA2460"/>
    <w:rsid w:val="4EB254E2"/>
    <w:rsid w:val="4ED6002C"/>
    <w:rsid w:val="4EDE59F1"/>
    <w:rsid w:val="4EE26D11"/>
    <w:rsid w:val="4EE563A5"/>
    <w:rsid w:val="4EE704A2"/>
    <w:rsid w:val="4EEE5AD9"/>
    <w:rsid w:val="4EF95C2A"/>
    <w:rsid w:val="4F0D5C03"/>
    <w:rsid w:val="4F1B204B"/>
    <w:rsid w:val="4F3C7BF1"/>
    <w:rsid w:val="4F4C1C4D"/>
    <w:rsid w:val="4F8C1844"/>
    <w:rsid w:val="4F925590"/>
    <w:rsid w:val="4FC63348"/>
    <w:rsid w:val="4FCB360F"/>
    <w:rsid w:val="4FCB47B8"/>
    <w:rsid w:val="4FFC4007"/>
    <w:rsid w:val="502F2D08"/>
    <w:rsid w:val="504037AB"/>
    <w:rsid w:val="506B3013"/>
    <w:rsid w:val="509C2BBD"/>
    <w:rsid w:val="509F2CEF"/>
    <w:rsid w:val="50B16257"/>
    <w:rsid w:val="50D45BEA"/>
    <w:rsid w:val="50D810F5"/>
    <w:rsid w:val="51695C50"/>
    <w:rsid w:val="517A3B9E"/>
    <w:rsid w:val="51930221"/>
    <w:rsid w:val="51B85DC0"/>
    <w:rsid w:val="51D70636"/>
    <w:rsid w:val="51E32E25"/>
    <w:rsid w:val="51E84908"/>
    <w:rsid w:val="51ED36FD"/>
    <w:rsid w:val="52467001"/>
    <w:rsid w:val="524E238C"/>
    <w:rsid w:val="528F1106"/>
    <w:rsid w:val="52D267D2"/>
    <w:rsid w:val="52D60A6A"/>
    <w:rsid w:val="535B1BF4"/>
    <w:rsid w:val="53A27D7B"/>
    <w:rsid w:val="53CD7512"/>
    <w:rsid w:val="53CE4069"/>
    <w:rsid w:val="53D60A76"/>
    <w:rsid w:val="53F4152A"/>
    <w:rsid w:val="540A001E"/>
    <w:rsid w:val="5419703F"/>
    <w:rsid w:val="542853CF"/>
    <w:rsid w:val="54287A19"/>
    <w:rsid w:val="542E22E2"/>
    <w:rsid w:val="542E2F3B"/>
    <w:rsid w:val="542E4291"/>
    <w:rsid w:val="543B75C2"/>
    <w:rsid w:val="543D7DDF"/>
    <w:rsid w:val="5451520E"/>
    <w:rsid w:val="546A3C40"/>
    <w:rsid w:val="54773E96"/>
    <w:rsid w:val="547B5F74"/>
    <w:rsid w:val="547D6755"/>
    <w:rsid w:val="5497283A"/>
    <w:rsid w:val="54A61D68"/>
    <w:rsid w:val="54DF2EE5"/>
    <w:rsid w:val="54F731CB"/>
    <w:rsid w:val="54FE2CDD"/>
    <w:rsid w:val="55323F7E"/>
    <w:rsid w:val="556F7679"/>
    <w:rsid w:val="55957CC3"/>
    <w:rsid w:val="55A53E20"/>
    <w:rsid w:val="55AA4CD0"/>
    <w:rsid w:val="55DE448C"/>
    <w:rsid w:val="55E30AF8"/>
    <w:rsid w:val="560E784E"/>
    <w:rsid w:val="56184330"/>
    <w:rsid w:val="561B45A1"/>
    <w:rsid w:val="561D1D9D"/>
    <w:rsid w:val="56347F61"/>
    <w:rsid w:val="5673553E"/>
    <w:rsid w:val="56742102"/>
    <w:rsid w:val="567A6419"/>
    <w:rsid w:val="56BD2755"/>
    <w:rsid w:val="56C001A8"/>
    <w:rsid w:val="56E25487"/>
    <w:rsid w:val="56EE1818"/>
    <w:rsid w:val="570953DD"/>
    <w:rsid w:val="57447EDD"/>
    <w:rsid w:val="5754722D"/>
    <w:rsid w:val="575C65BB"/>
    <w:rsid w:val="57683705"/>
    <w:rsid w:val="577E6D1F"/>
    <w:rsid w:val="57BF3ACC"/>
    <w:rsid w:val="57C803A8"/>
    <w:rsid w:val="57DB5CAB"/>
    <w:rsid w:val="57E23783"/>
    <w:rsid w:val="583E5DDB"/>
    <w:rsid w:val="584650D1"/>
    <w:rsid w:val="587E04A6"/>
    <w:rsid w:val="58956005"/>
    <w:rsid w:val="589D51EA"/>
    <w:rsid w:val="58A91A2F"/>
    <w:rsid w:val="58BE763A"/>
    <w:rsid w:val="58C67177"/>
    <w:rsid w:val="58DD5ADD"/>
    <w:rsid w:val="5904717E"/>
    <w:rsid w:val="592C475B"/>
    <w:rsid w:val="593764DA"/>
    <w:rsid w:val="593F1EA5"/>
    <w:rsid w:val="59605ECB"/>
    <w:rsid w:val="59632A97"/>
    <w:rsid w:val="597B1881"/>
    <w:rsid w:val="5984029D"/>
    <w:rsid w:val="59AE1D54"/>
    <w:rsid w:val="59B17A29"/>
    <w:rsid w:val="59BE0DF8"/>
    <w:rsid w:val="59E5516C"/>
    <w:rsid w:val="59F81599"/>
    <w:rsid w:val="5A100D14"/>
    <w:rsid w:val="5A2E54DF"/>
    <w:rsid w:val="5A3F76AF"/>
    <w:rsid w:val="5A4D5143"/>
    <w:rsid w:val="5A701637"/>
    <w:rsid w:val="5A736F92"/>
    <w:rsid w:val="5A967720"/>
    <w:rsid w:val="5ABE6152"/>
    <w:rsid w:val="5ADA59DE"/>
    <w:rsid w:val="5AEF59E5"/>
    <w:rsid w:val="5B1475DE"/>
    <w:rsid w:val="5B86301D"/>
    <w:rsid w:val="5BF17959"/>
    <w:rsid w:val="5C097299"/>
    <w:rsid w:val="5C101BD8"/>
    <w:rsid w:val="5C143164"/>
    <w:rsid w:val="5C255303"/>
    <w:rsid w:val="5C53104A"/>
    <w:rsid w:val="5C542886"/>
    <w:rsid w:val="5C5B2EE9"/>
    <w:rsid w:val="5C6E72BF"/>
    <w:rsid w:val="5C77760B"/>
    <w:rsid w:val="5C8C2B60"/>
    <w:rsid w:val="5CA52351"/>
    <w:rsid w:val="5CAE30EB"/>
    <w:rsid w:val="5D223553"/>
    <w:rsid w:val="5D283CFE"/>
    <w:rsid w:val="5D290731"/>
    <w:rsid w:val="5D4A160C"/>
    <w:rsid w:val="5D4C6877"/>
    <w:rsid w:val="5D6A6B1B"/>
    <w:rsid w:val="5DA427EF"/>
    <w:rsid w:val="5DAB3BFE"/>
    <w:rsid w:val="5DB07F38"/>
    <w:rsid w:val="5DD73146"/>
    <w:rsid w:val="5DEA6684"/>
    <w:rsid w:val="5E115B8C"/>
    <w:rsid w:val="5E19141B"/>
    <w:rsid w:val="5E2604DF"/>
    <w:rsid w:val="5E2760AB"/>
    <w:rsid w:val="5E3D4702"/>
    <w:rsid w:val="5E4104C3"/>
    <w:rsid w:val="5E7C64E9"/>
    <w:rsid w:val="5E811B73"/>
    <w:rsid w:val="5E990F71"/>
    <w:rsid w:val="5EA863B7"/>
    <w:rsid w:val="5EAC7242"/>
    <w:rsid w:val="5EC30FAF"/>
    <w:rsid w:val="5EE010EF"/>
    <w:rsid w:val="5F281C03"/>
    <w:rsid w:val="5F392B21"/>
    <w:rsid w:val="5F3E6D1E"/>
    <w:rsid w:val="5F474A93"/>
    <w:rsid w:val="5F5052CF"/>
    <w:rsid w:val="5F5757C6"/>
    <w:rsid w:val="5F5D32C9"/>
    <w:rsid w:val="5F672AB7"/>
    <w:rsid w:val="5F852D7A"/>
    <w:rsid w:val="5FA32AA6"/>
    <w:rsid w:val="5FE118B2"/>
    <w:rsid w:val="5FF91BF1"/>
    <w:rsid w:val="60305ECB"/>
    <w:rsid w:val="6051036A"/>
    <w:rsid w:val="6056195F"/>
    <w:rsid w:val="606021D2"/>
    <w:rsid w:val="60A02734"/>
    <w:rsid w:val="60AC61ED"/>
    <w:rsid w:val="60BC15DA"/>
    <w:rsid w:val="60C459EA"/>
    <w:rsid w:val="60D015C7"/>
    <w:rsid w:val="60DE4E80"/>
    <w:rsid w:val="60E07DC7"/>
    <w:rsid w:val="60FC2274"/>
    <w:rsid w:val="6104477F"/>
    <w:rsid w:val="611B5A14"/>
    <w:rsid w:val="611E5DAE"/>
    <w:rsid w:val="6179747E"/>
    <w:rsid w:val="61936A07"/>
    <w:rsid w:val="619C7CD6"/>
    <w:rsid w:val="61D4025C"/>
    <w:rsid w:val="61ED3F14"/>
    <w:rsid w:val="621843F3"/>
    <w:rsid w:val="621952AD"/>
    <w:rsid w:val="621D45CE"/>
    <w:rsid w:val="621E264E"/>
    <w:rsid w:val="62224381"/>
    <w:rsid w:val="622F207F"/>
    <w:rsid w:val="62353BC6"/>
    <w:rsid w:val="623963B1"/>
    <w:rsid w:val="62683381"/>
    <w:rsid w:val="62A01784"/>
    <w:rsid w:val="62CF6A92"/>
    <w:rsid w:val="631D3F36"/>
    <w:rsid w:val="633B4DB9"/>
    <w:rsid w:val="63405386"/>
    <w:rsid w:val="634E6390"/>
    <w:rsid w:val="636E0D11"/>
    <w:rsid w:val="63860A53"/>
    <w:rsid w:val="638763A2"/>
    <w:rsid w:val="6388245D"/>
    <w:rsid w:val="63B33F14"/>
    <w:rsid w:val="64061915"/>
    <w:rsid w:val="64072ECF"/>
    <w:rsid w:val="646D5203"/>
    <w:rsid w:val="64731F0D"/>
    <w:rsid w:val="64866D7F"/>
    <w:rsid w:val="648B25C1"/>
    <w:rsid w:val="64C01EF5"/>
    <w:rsid w:val="65027AB7"/>
    <w:rsid w:val="651C317C"/>
    <w:rsid w:val="657679A0"/>
    <w:rsid w:val="65817613"/>
    <w:rsid w:val="65AB6FEB"/>
    <w:rsid w:val="65C9110E"/>
    <w:rsid w:val="65F353FD"/>
    <w:rsid w:val="661E7873"/>
    <w:rsid w:val="6620003E"/>
    <w:rsid w:val="662F31E1"/>
    <w:rsid w:val="665E77D4"/>
    <w:rsid w:val="66BD69BA"/>
    <w:rsid w:val="66E15F61"/>
    <w:rsid w:val="66EA057C"/>
    <w:rsid w:val="67076926"/>
    <w:rsid w:val="670B4E0C"/>
    <w:rsid w:val="671D1C88"/>
    <w:rsid w:val="671E2BF6"/>
    <w:rsid w:val="674F1727"/>
    <w:rsid w:val="675D58C7"/>
    <w:rsid w:val="67684F0A"/>
    <w:rsid w:val="6780383C"/>
    <w:rsid w:val="67881C5E"/>
    <w:rsid w:val="67963032"/>
    <w:rsid w:val="67C97A91"/>
    <w:rsid w:val="67CE04D2"/>
    <w:rsid w:val="67E65267"/>
    <w:rsid w:val="680648AC"/>
    <w:rsid w:val="6816031C"/>
    <w:rsid w:val="68263815"/>
    <w:rsid w:val="682B2AFB"/>
    <w:rsid w:val="68507B09"/>
    <w:rsid w:val="685A3088"/>
    <w:rsid w:val="68756DEA"/>
    <w:rsid w:val="688C0925"/>
    <w:rsid w:val="689352D5"/>
    <w:rsid w:val="68973CFF"/>
    <w:rsid w:val="68B42CC6"/>
    <w:rsid w:val="68B86E21"/>
    <w:rsid w:val="68BB5A4D"/>
    <w:rsid w:val="68E3700A"/>
    <w:rsid w:val="68E632DB"/>
    <w:rsid w:val="69040CBA"/>
    <w:rsid w:val="69344859"/>
    <w:rsid w:val="69350DF1"/>
    <w:rsid w:val="693B0911"/>
    <w:rsid w:val="69444886"/>
    <w:rsid w:val="69786997"/>
    <w:rsid w:val="699C7137"/>
    <w:rsid w:val="699F7D1C"/>
    <w:rsid w:val="69CB237C"/>
    <w:rsid w:val="69FE7D3A"/>
    <w:rsid w:val="6A001385"/>
    <w:rsid w:val="6A024D23"/>
    <w:rsid w:val="6A0275E2"/>
    <w:rsid w:val="6A08346F"/>
    <w:rsid w:val="6A0F31D1"/>
    <w:rsid w:val="6A256800"/>
    <w:rsid w:val="6A504C7E"/>
    <w:rsid w:val="6AA47646"/>
    <w:rsid w:val="6ACD4943"/>
    <w:rsid w:val="6AFB2561"/>
    <w:rsid w:val="6B063CB9"/>
    <w:rsid w:val="6B176DB4"/>
    <w:rsid w:val="6B20377C"/>
    <w:rsid w:val="6B2053C4"/>
    <w:rsid w:val="6B2C2BE6"/>
    <w:rsid w:val="6B4554DD"/>
    <w:rsid w:val="6B5509E2"/>
    <w:rsid w:val="6B771D5C"/>
    <w:rsid w:val="6B8C0C8F"/>
    <w:rsid w:val="6B9773B7"/>
    <w:rsid w:val="6BB0523B"/>
    <w:rsid w:val="6BC57636"/>
    <w:rsid w:val="6C1E78C7"/>
    <w:rsid w:val="6C363893"/>
    <w:rsid w:val="6C4102D4"/>
    <w:rsid w:val="6C7068FD"/>
    <w:rsid w:val="6CCA4DB6"/>
    <w:rsid w:val="6CCC3791"/>
    <w:rsid w:val="6CDA7144"/>
    <w:rsid w:val="6CEF413C"/>
    <w:rsid w:val="6D0452D5"/>
    <w:rsid w:val="6D0C404C"/>
    <w:rsid w:val="6D704A7E"/>
    <w:rsid w:val="6D9D1037"/>
    <w:rsid w:val="6DAC1D85"/>
    <w:rsid w:val="6DAC5E37"/>
    <w:rsid w:val="6DB71B68"/>
    <w:rsid w:val="6DBD035A"/>
    <w:rsid w:val="6DC05C0F"/>
    <w:rsid w:val="6DD36798"/>
    <w:rsid w:val="6E0C2EF3"/>
    <w:rsid w:val="6E482A95"/>
    <w:rsid w:val="6E545F72"/>
    <w:rsid w:val="6E6B4759"/>
    <w:rsid w:val="6E8012DE"/>
    <w:rsid w:val="6EE2798F"/>
    <w:rsid w:val="6EFE7855"/>
    <w:rsid w:val="6F122E5D"/>
    <w:rsid w:val="6F4D77D6"/>
    <w:rsid w:val="6F525533"/>
    <w:rsid w:val="6FAB58DF"/>
    <w:rsid w:val="6FB504D4"/>
    <w:rsid w:val="6FC72B51"/>
    <w:rsid w:val="6FFB21FC"/>
    <w:rsid w:val="6FFE70EC"/>
    <w:rsid w:val="70005C31"/>
    <w:rsid w:val="700F37A6"/>
    <w:rsid w:val="70B34F91"/>
    <w:rsid w:val="70BD07A2"/>
    <w:rsid w:val="70E87A2C"/>
    <w:rsid w:val="710544FF"/>
    <w:rsid w:val="7144737C"/>
    <w:rsid w:val="714474D0"/>
    <w:rsid w:val="715528A5"/>
    <w:rsid w:val="715A5764"/>
    <w:rsid w:val="71665980"/>
    <w:rsid w:val="71A16AB0"/>
    <w:rsid w:val="71C31F17"/>
    <w:rsid w:val="71D4661D"/>
    <w:rsid w:val="71EF2F1F"/>
    <w:rsid w:val="72166395"/>
    <w:rsid w:val="721756BC"/>
    <w:rsid w:val="72177D49"/>
    <w:rsid w:val="72456F22"/>
    <w:rsid w:val="727257BF"/>
    <w:rsid w:val="72791832"/>
    <w:rsid w:val="72827DFD"/>
    <w:rsid w:val="72B21BF8"/>
    <w:rsid w:val="730A4217"/>
    <w:rsid w:val="731163CA"/>
    <w:rsid w:val="731435D2"/>
    <w:rsid w:val="73196EA9"/>
    <w:rsid w:val="73405ED0"/>
    <w:rsid w:val="734E5907"/>
    <w:rsid w:val="73877F1B"/>
    <w:rsid w:val="73894E82"/>
    <w:rsid w:val="73AC308A"/>
    <w:rsid w:val="73C42C54"/>
    <w:rsid w:val="73E57523"/>
    <w:rsid w:val="73F91465"/>
    <w:rsid w:val="740106D7"/>
    <w:rsid w:val="74064FAA"/>
    <w:rsid w:val="747A7A4A"/>
    <w:rsid w:val="747D4564"/>
    <w:rsid w:val="74933BA3"/>
    <w:rsid w:val="74A40E13"/>
    <w:rsid w:val="74AF71C8"/>
    <w:rsid w:val="74DA5652"/>
    <w:rsid w:val="75122FF7"/>
    <w:rsid w:val="754823FD"/>
    <w:rsid w:val="755D2FC3"/>
    <w:rsid w:val="757B55C9"/>
    <w:rsid w:val="75AB4E54"/>
    <w:rsid w:val="75B50891"/>
    <w:rsid w:val="75B5516C"/>
    <w:rsid w:val="75DA19B9"/>
    <w:rsid w:val="75DD68FF"/>
    <w:rsid w:val="7619741E"/>
    <w:rsid w:val="76403F3B"/>
    <w:rsid w:val="764D7DCC"/>
    <w:rsid w:val="76570A7E"/>
    <w:rsid w:val="765A2B26"/>
    <w:rsid w:val="76F65090"/>
    <w:rsid w:val="77034869"/>
    <w:rsid w:val="771C4622"/>
    <w:rsid w:val="77BC4BF7"/>
    <w:rsid w:val="77DF4375"/>
    <w:rsid w:val="78115173"/>
    <w:rsid w:val="78277ED3"/>
    <w:rsid w:val="782C4352"/>
    <w:rsid w:val="782E3E32"/>
    <w:rsid w:val="784A3968"/>
    <w:rsid w:val="785A1218"/>
    <w:rsid w:val="787863EA"/>
    <w:rsid w:val="787C07EE"/>
    <w:rsid w:val="788168CA"/>
    <w:rsid w:val="78966CC6"/>
    <w:rsid w:val="78B26953"/>
    <w:rsid w:val="78B4513F"/>
    <w:rsid w:val="78B66D3C"/>
    <w:rsid w:val="78D46BB2"/>
    <w:rsid w:val="78ED1962"/>
    <w:rsid w:val="79015462"/>
    <w:rsid w:val="79016BF5"/>
    <w:rsid w:val="79215BD0"/>
    <w:rsid w:val="79390E56"/>
    <w:rsid w:val="79450ACB"/>
    <w:rsid w:val="799814FD"/>
    <w:rsid w:val="79AB6D38"/>
    <w:rsid w:val="79AC16B7"/>
    <w:rsid w:val="79AF441F"/>
    <w:rsid w:val="79D22AD2"/>
    <w:rsid w:val="79FD7A91"/>
    <w:rsid w:val="7A013DD2"/>
    <w:rsid w:val="7A1E1EBE"/>
    <w:rsid w:val="7A355787"/>
    <w:rsid w:val="7A4D5DAB"/>
    <w:rsid w:val="7A5154CE"/>
    <w:rsid w:val="7A7A71DD"/>
    <w:rsid w:val="7A842335"/>
    <w:rsid w:val="7AEE4726"/>
    <w:rsid w:val="7B0C6CA4"/>
    <w:rsid w:val="7B2A2CFA"/>
    <w:rsid w:val="7B5754DA"/>
    <w:rsid w:val="7B752236"/>
    <w:rsid w:val="7BB3412B"/>
    <w:rsid w:val="7BC7491B"/>
    <w:rsid w:val="7BEE2E29"/>
    <w:rsid w:val="7BF46BC5"/>
    <w:rsid w:val="7C142263"/>
    <w:rsid w:val="7C4577E7"/>
    <w:rsid w:val="7C4E60F4"/>
    <w:rsid w:val="7C525F4E"/>
    <w:rsid w:val="7C625F51"/>
    <w:rsid w:val="7C7E358D"/>
    <w:rsid w:val="7CAF00AB"/>
    <w:rsid w:val="7CBF3FED"/>
    <w:rsid w:val="7CD71D39"/>
    <w:rsid w:val="7D086E3A"/>
    <w:rsid w:val="7D620DFB"/>
    <w:rsid w:val="7D664919"/>
    <w:rsid w:val="7D8752EA"/>
    <w:rsid w:val="7DAE54C3"/>
    <w:rsid w:val="7DAF3E88"/>
    <w:rsid w:val="7E082F60"/>
    <w:rsid w:val="7E2E6D99"/>
    <w:rsid w:val="7E321E5F"/>
    <w:rsid w:val="7E487356"/>
    <w:rsid w:val="7E561908"/>
    <w:rsid w:val="7E652A17"/>
    <w:rsid w:val="7E6A058D"/>
    <w:rsid w:val="7E8E63E0"/>
    <w:rsid w:val="7ECE563D"/>
    <w:rsid w:val="7EEE1794"/>
    <w:rsid w:val="7EF82D0F"/>
    <w:rsid w:val="7EFE3CF6"/>
    <w:rsid w:val="7F023DB4"/>
    <w:rsid w:val="7F484588"/>
    <w:rsid w:val="7F4D1D5A"/>
    <w:rsid w:val="7F645432"/>
    <w:rsid w:val="7F7B0002"/>
    <w:rsid w:val="7FA1055E"/>
    <w:rsid w:val="7FA92860"/>
    <w:rsid w:val="7FB84EC5"/>
    <w:rsid w:val="7FBF2BBE"/>
    <w:rsid w:val="7FC37967"/>
    <w:rsid w:val="7FD53049"/>
    <w:rsid w:val="7FEC2713"/>
    <w:rsid w:val="7FF63DA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99" w:semiHidden="0" w:name="Body Text First Indent"/>
    <w:lsdException w:qFormat="1" w:unhideWhenUsed="0" w:uiPriority="99" w:semiHidden="0" w:name="Body Text First Indent 2"/>
    <w:lsdException w:uiPriority="0" w:name="Note Heading"/>
    <w:lsdException w:uiPriority="0" w:name="Body Text 2"/>
    <w:lsdException w:uiPriority="0" w:name="Body Text 3"/>
    <w:lsdException w:uiPriority="0" w:name="Body Text Indent 2"/>
    <w:lsdException w:qFormat="1" w:unhideWhenUsed="0" w:uiPriority="99" w:semiHidden="0" w:name="Body Text Indent 3"/>
    <w:lsdException w:uiPriority="0" w:name="Block Text"/>
    <w:lsdException w:qFormat="1" w:uiPriority="0" w:semiHidden="0" w:name="Hyperlink"/>
    <w:lsdException w:qFormat="1"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iPriority="0" w:semiHidden="0" w:name="Plain Text"/>
    <w:lsdException w:uiPriority="0" w:name="E-mail Signature"/>
    <w:lsdException w:qFormat="1" w:unhideWhenUsed="0" w:uiPriority="0" w:semiHidden="0" w:name="Normal (Web)"/>
    <w:lsdException w:uiPriority="0" w:name="HTML Acronym"/>
    <w:lsdException w:uiPriority="0" w:name="HTML Address"/>
    <w:lsdException w:qFormat="1" w:uiPriority="0" w:semiHidden="0" w:name="HTML Cite"/>
    <w:lsdException w:qFormat="1" w:uiPriority="0" w:semiHidden="0" w:name="HTML Code"/>
    <w:lsdException w:qFormat="1" w:uiPriority="0" w:semiHidden="0" w:name="HTML Definition"/>
    <w:lsdException w:uiPriority="0" w:name="HTML Keyboard"/>
    <w:lsdException w:uiPriority="0" w:name="HTML Preformatted"/>
    <w:lsdException w:uiPriority="0" w:name="HTML Sample"/>
    <w:lsdException w:uiPriority="0" w:name="HTML Typewriter"/>
    <w:lsdException w:qFormat="1" w:uiPriority="0" w:semiHidden="0" w:name="HTML Variable"/>
    <w:lsdException w:qFormat="1" w:uiPriority="99" w:semiHidden="0"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4">
    <w:name w:val="heading 1"/>
    <w:basedOn w:val="1"/>
    <w:next w:val="1"/>
    <w:link w:val="38"/>
    <w:qFormat/>
    <w:uiPriority w:val="0"/>
    <w:pPr>
      <w:keepNext/>
      <w:numPr>
        <w:ilvl w:val="0"/>
        <w:numId w:val="1"/>
      </w:numPr>
      <w:spacing w:line="360" w:lineRule="auto"/>
      <w:ind w:firstLine="200" w:firstLineChars="200"/>
      <w:jc w:val="center"/>
      <w:outlineLvl w:val="0"/>
    </w:pPr>
    <w:rPr>
      <w:rFonts w:ascii="楷体_GB2312" w:hAnsi="Times New Roman" w:eastAsia="楷体_GB2312" w:cs="Times New Roman"/>
      <w:kern w:val="0"/>
      <w:sz w:val="28"/>
      <w:szCs w:val="28"/>
    </w:rPr>
  </w:style>
  <w:style w:type="paragraph" w:styleId="5">
    <w:name w:val="heading 2"/>
    <w:basedOn w:val="1"/>
    <w:next w:val="1"/>
    <w:link w:val="66"/>
    <w:qFormat/>
    <w:uiPriority w:val="99"/>
    <w:pPr>
      <w:keepNext/>
      <w:keepLines/>
      <w:numPr>
        <w:ilvl w:val="1"/>
        <w:numId w:val="1"/>
      </w:numPr>
      <w:spacing w:before="260" w:after="260" w:line="415" w:lineRule="auto"/>
      <w:ind w:firstLine="200" w:firstLineChars="200"/>
      <w:jc w:val="center"/>
      <w:outlineLvl w:val="1"/>
    </w:pPr>
    <w:rPr>
      <w:rFonts w:ascii="Arial" w:hAnsi="Arial" w:eastAsia="红豆幼黑体" w:cs="Times New Roman"/>
      <w:b/>
      <w:bCs/>
      <w:kern w:val="0"/>
      <w:sz w:val="44"/>
      <w:szCs w:val="44"/>
    </w:rPr>
  </w:style>
  <w:style w:type="paragraph" w:styleId="6">
    <w:name w:val="heading 3"/>
    <w:basedOn w:val="1"/>
    <w:next w:val="1"/>
    <w:qFormat/>
    <w:uiPriority w:val="0"/>
    <w:pPr>
      <w:keepNext/>
      <w:keepLines/>
      <w:numPr>
        <w:ilvl w:val="2"/>
        <w:numId w:val="1"/>
      </w:numPr>
      <w:spacing w:before="260" w:after="260" w:line="415" w:lineRule="auto"/>
      <w:outlineLvl w:val="2"/>
    </w:pPr>
    <w:rPr>
      <w:b/>
      <w:bCs/>
      <w:sz w:val="32"/>
      <w:szCs w:val="32"/>
    </w:rPr>
  </w:style>
  <w:style w:type="paragraph" w:styleId="7">
    <w:name w:val="heading 4"/>
    <w:basedOn w:val="1"/>
    <w:next w:val="1"/>
    <w:qFormat/>
    <w:uiPriority w:val="9"/>
    <w:pPr>
      <w:keepNext/>
      <w:keepLines/>
      <w:spacing w:before="280" w:after="290" w:line="376" w:lineRule="auto"/>
      <w:outlineLvl w:val="3"/>
    </w:pPr>
    <w:rPr>
      <w:rFonts w:ascii="Cambria" w:hAnsi="Cambria" w:cs="Times New Roman"/>
      <w:b/>
      <w:bCs/>
      <w:sz w:val="28"/>
      <w:szCs w:val="28"/>
    </w:rPr>
  </w:style>
  <w:style w:type="character" w:default="1" w:styleId="26">
    <w:name w:val="Default Paragraph Font"/>
    <w:unhideWhenUsed/>
    <w:qFormat/>
    <w:uiPriority w:val="1"/>
  </w:style>
  <w:style w:type="table" w:default="1" w:styleId="24">
    <w:name w:val="Normal Table"/>
    <w:unhideWhenUsed/>
    <w:qFormat/>
    <w:uiPriority w:val="99"/>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style>
  <w:style w:type="paragraph" w:styleId="3">
    <w:name w:val="Body Text"/>
    <w:basedOn w:val="1"/>
    <w:qFormat/>
    <w:uiPriority w:val="1"/>
  </w:style>
  <w:style w:type="paragraph" w:styleId="8">
    <w:name w:val="Normal Indent"/>
    <w:basedOn w:val="1"/>
    <w:qFormat/>
    <w:uiPriority w:val="0"/>
    <w:pPr>
      <w:ind w:firstLine="420"/>
    </w:pPr>
    <w:rPr>
      <w:szCs w:val="20"/>
    </w:rPr>
  </w:style>
  <w:style w:type="paragraph" w:styleId="9">
    <w:name w:val="annotation text"/>
    <w:basedOn w:val="1"/>
    <w:link w:val="64"/>
    <w:unhideWhenUsed/>
    <w:qFormat/>
    <w:uiPriority w:val="0"/>
    <w:pPr>
      <w:jc w:val="left"/>
    </w:pPr>
    <w:rPr>
      <w:rFonts w:cs="Times New Roman"/>
    </w:rPr>
  </w:style>
  <w:style w:type="paragraph" w:styleId="10">
    <w:name w:val="index 4"/>
    <w:basedOn w:val="1"/>
    <w:next w:val="1"/>
    <w:qFormat/>
    <w:uiPriority w:val="99"/>
    <w:pPr>
      <w:ind w:left="600" w:leftChars="600"/>
    </w:pPr>
    <w:rPr>
      <w:rFonts w:ascii="Verdana" w:hAnsi="Verdana"/>
      <w:szCs w:val="20"/>
    </w:rPr>
  </w:style>
  <w:style w:type="paragraph" w:styleId="11">
    <w:name w:val="Plain Text"/>
    <w:basedOn w:val="1"/>
    <w:unhideWhenUsed/>
    <w:qFormat/>
    <w:uiPriority w:val="0"/>
    <w:rPr>
      <w:rFonts w:hint="eastAsia" w:ascii="宋体" w:hAnsi="Courier New"/>
      <w:szCs w:val="20"/>
    </w:rPr>
  </w:style>
  <w:style w:type="paragraph" w:styleId="12">
    <w:name w:val="Date"/>
    <w:basedOn w:val="1"/>
    <w:next w:val="1"/>
    <w:qFormat/>
    <w:uiPriority w:val="0"/>
    <w:rPr>
      <w:rFonts w:ascii="Times New Roman" w:hAnsi="Times New Roman" w:eastAsia="宋体" w:cs="Times New Roman"/>
      <w:sz w:val="24"/>
      <w:szCs w:val="20"/>
    </w:rPr>
  </w:style>
  <w:style w:type="paragraph" w:styleId="13">
    <w:name w:val="Balloon Text"/>
    <w:basedOn w:val="1"/>
    <w:link w:val="62"/>
    <w:qFormat/>
    <w:uiPriority w:val="0"/>
    <w:rPr>
      <w:rFonts w:cs="Times New Roman"/>
      <w:sz w:val="18"/>
      <w:szCs w:val="18"/>
    </w:rPr>
  </w:style>
  <w:style w:type="paragraph" w:styleId="14">
    <w:name w:val="footer"/>
    <w:basedOn w:val="1"/>
    <w:qFormat/>
    <w:uiPriority w:val="0"/>
    <w:pPr>
      <w:tabs>
        <w:tab w:val="center" w:pos="4153"/>
        <w:tab w:val="right" w:pos="8306"/>
      </w:tabs>
      <w:snapToGrid w:val="0"/>
      <w:spacing w:line="360" w:lineRule="auto"/>
      <w:ind w:firstLine="200" w:firstLineChars="200"/>
      <w:jc w:val="left"/>
    </w:pPr>
    <w:rPr>
      <w:rFonts w:ascii="Times New Roman" w:hAnsi="Times New Roman" w:cs="Times New Roman"/>
      <w:sz w:val="18"/>
      <w:szCs w:val="18"/>
    </w:rPr>
  </w:style>
  <w:style w:type="paragraph" w:styleId="15">
    <w:name w:val="header"/>
    <w:basedOn w:val="1"/>
    <w:qFormat/>
    <w:uiPriority w:val="0"/>
    <w:pPr>
      <w:pBdr>
        <w:bottom w:val="single" w:color="auto" w:sz="6" w:space="1"/>
      </w:pBdr>
      <w:tabs>
        <w:tab w:val="center" w:pos="4153"/>
        <w:tab w:val="right" w:pos="8306"/>
      </w:tabs>
      <w:snapToGrid w:val="0"/>
      <w:spacing w:line="360" w:lineRule="auto"/>
      <w:ind w:firstLine="200" w:firstLineChars="200"/>
      <w:jc w:val="center"/>
    </w:pPr>
    <w:rPr>
      <w:rFonts w:ascii="Times New Roman" w:hAnsi="Times New Roman" w:cs="Times New Roman"/>
      <w:sz w:val="18"/>
      <w:szCs w:val="18"/>
    </w:rPr>
  </w:style>
  <w:style w:type="paragraph" w:styleId="16">
    <w:name w:val="toc 1"/>
    <w:basedOn w:val="1"/>
    <w:next w:val="1"/>
    <w:qFormat/>
    <w:uiPriority w:val="0"/>
    <w:pPr>
      <w:tabs>
        <w:tab w:val="right" w:leader="dot" w:pos="8720"/>
      </w:tabs>
      <w:spacing w:before="120" w:after="120" w:line="400" w:lineRule="exact"/>
      <w:ind w:firstLine="200" w:firstLineChars="200"/>
      <w:jc w:val="left"/>
    </w:pPr>
    <w:rPr>
      <w:rFonts w:ascii="宋体" w:hAnsi="宋体" w:cs="宋体"/>
      <w:caps/>
      <w:sz w:val="24"/>
      <w:szCs w:val="24"/>
    </w:rPr>
  </w:style>
  <w:style w:type="paragraph" w:styleId="17">
    <w:name w:val="Subtitle"/>
    <w:basedOn w:val="1"/>
    <w:next w:val="1"/>
    <w:link w:val="73"/>
    <w:qFormat/>
    <w:uiPriority w:val="0"/>
    <w:pPr>
      <w:spacing w:before="240" w:after="60" w:line="312" w:lineRule="auto"/>
      <w:jc w:val="center"/>
      <w:outlineLvl w:val="1"/>
    </w:pPr>
    <w:rPr>
      <w:rFonts w:ascii="Cambria" w:hAnsi="Cambria" w:cs="Times New Roman"/>
      <w:b/>
      <w:bCs/>
      <w:kern w:val="28"/>
      <w:sz w:val="32"/>
      <w:szCs w:val="32"/>
    </w:rPr>
  </w:style>
  <w:style w:type="paragraph" w:styleId="18">
    <w:name w:val="Body Text Indent 3"/>
    <w:basedOn w:val="1"/>
    <w:qFormat/>
    <w:uiPriority w:val="99"/>
    <w:pPr>
      <w:spacing w:before="120" w:after="120" w:line="264" w:lineRule="auto"/>
      <w:ind w:left="480"/>
    </w:pPr>
    <w:rPr>
      <w:b/>
      <w:bCs/>
      <w:kern w:val="0"/>
      <w:sz w:val="20"/>
      <w:szCs w:val="20"/>
    </w:rPr>
  </w:style>
  <w:style w:type="paragraph" w:styleId="19">
    <w:name w:val="toc 2"/>
    <w:basedOn w:val="1"/>
    <w:next w:val="1"/>
    <w:qFormat/>
    <w:uiPriority w:val="0"/>
    <w:pPr>
      <w:ind w:left="420" w:leftChars="200"/>
    </w:pPr>
  </w:style>
  <w:style w:type="paragraph" w:styleId="20">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21">
    <w:name w:val="Title"/>
    <w:basedOn w:val="1"/>
    <w:next w:val="1"/>
    <w:qFormat/>
    <w:uiPriority w:val="0"/>
    <w:pPr>
      <w:widowControl/>
      <w:overflowPunct w:val="0"/>
      <w:autoSpaceDE w:val="0"/>
      <w:autoSpaceDN w:val="0"/>
      <w:adjustRightInd w:val="0"/>
      <w:spacing w:line="420" w:lineRule="exact"/>
      <w:jc w:val="center"/>
      <w:textAlignment w:val="baseline"/>
    </w:pPr>
    <w:rPr>
      <w:rFonts w:eastAsia="黑体"/>
      <w:b/>
      <w:kern w:val="0"/>
      <w:sz w:val="28"/>
      <w:szCs w:val="20"/>
      <w:lang w:val="en-GB"/>
    </w:rPr>
  </w:style>
  <w:style w:type="paragraph" w:styleId="22">
    <w:name w:val="annotation subject"/>
    <w:basedOn w:val="9"/>
    <w:next w:val="9"/>
    <w:link w:val="46"/>
    <w:unhideWhenUsed/>
    <w:qFormat/>
    <w:uiPriority w:val="0"/>
    <w:rPr>
      <w:b/>
      <w:bCs/>
    </w:rPr>
  </w:style>
  <w:style w:type="paragraph" w:styleId="23">
    <w:name w:val="Body Text First Indent 2"/>
    <w:basedOn w:val="1"/>
    <w:next w:val="1"/>
    <w:qFormat/>
    <w:uiPriority w:val="99"/>
    <w:pPr>
      <w:ind w:firstLine="420" w:firstLineChars="200"/>
    </w:pPr>
  </w:style>
  <w:style w:type="table" w:styleId="25">
    <w:name w:val="Table Grid"/>
    <w:basedOn w:val="24"/>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qFormat/>
    <w:uiPriority w:val="0"/>
    <w:rPr>
      <w:b/>
      <w:bCs/>
    </w:rPr>
  </w:style>
  <w:style w:type="character" w:styleId="28">
    <w:name w:val="page number"/>
    <w:basedOn w:val="26"/>
    <w:qFormat/>
    <w:uiPriority w:val="0"/>
  </w:style>
  <w:style w:type="character" w:styleId="29">
    <w:name w:val="FollowedHyperlink"/>
    <w:basedOn w:val="26"/>
    <w:unhideWhenUsed/>
    <w:qFormat/>
    <w:uiPriority w:val="0"/>
    <w:rPr>
      <w:rFonts w:hint="eastAsia" w:ascii="微软雅黑" w:hAnsi="微软雅黑" w:eastAsia="微软雅黑" w:cs="微软雅黑"/>
      <w:color w:val="02396F"/>
      <w:u w:val="single"/>
    </w:rPr>
  </w:style>
  <w:style w:type="character" w:styleId="30">
    <w:name w:val="Emphasis"/>
    <w:basedOn w:val="26"/>
    <w:qFormat/>
    <w:uiPriority w:val="0"/>
  </w:style>
  <w:style w:type="character" w:styleId="31">
    <w:name w:val="HTML Definition"/>
    <w:basedOn w:val="26"/>
    <w:unhideWhenUsed/>
    <w:qFormat/>
    <w:uiPriority w:val="0"/>
  </w:style>
  <w:style w:type="character" w:styleId="32">
    <w:name w:val="HTML Variable"/>
    <w:basedOn w:val="26"/>
    <w:unhideWhenUsed/>
    <w:qFormat/>
    <w:uiPriority w:val="0"/>
  </w:style>
  <w:style w:type="character" w:styleId="33">
    <w:name w:val="Hyperlink"/>
    <w:basedOn w:val="26"/>
    <w:unhideWhenUsed/>
    <w:qFormat/>
    <w:uiPriority w:val="0"/>
    <w:rPr>
      <w:rFonts w:ascii="微软雅黑" w:hAnsi="微软雅黑" w:eastAsia="微软雅黑" w:cs="微软雅黑"/>
      <w:color w:val="02396F"/>
      <w:u w:val="single"/>
    </w:rPr>
  </w:style>
  <w:style w:type="character" w:styleId="34">
    <w:name w:val="HTML Code"/>
    <w:basedOn w:val="26"/>
    <w:unhideWhenUsed/>
    <w:qFormat/>
    <w:uiPriority w:val="0"/>
    <w:rPr>
      <w:rFonts w:ascii="Courier New" w:hAnsi="Courier New"/>
      <w:sz w:val="20"/>
    </w:rPr>
  </w:style>
  <w:style w:type="character" w:styleId="35">
    <w:name w:val="annotation reference"/>
    <w:unhideWhenUsed/>
    <w:qFormat/>
    <w:uiPriority w:val="0"/>
    <w:rPr>
      <w:sz w:val="21"/>
      <w:szCs w:val="21"/>
    </w:rPr>
  </w:style>
  <w:style w:type="character" w:styleId="36">
    <w:name w:val="HTML Cite"/>
    <w:basedOn w:val="26"/>
    <w:unhideWhenUsed/>
    <w:qFormat/>
    <w:uiPriority w:val="0"/>
  </w:style>
  <w:style w:type="character" w:customStyle="1" w:styleId="37">
    <w:name w:val="placehold"/>
    <w:basedOn w:val="26"/>
    <w:qFormat/>
    <w:uiPriority w:val="0"/>
  </w:style>
  <w:style w:type="character" w:customStyle="1" w:styleId="38">
    <w:name w:val="标题 1 Char"/>
    <w:basedOn w:val="26"/>
    <w:link w:val="4"/>
    <w:qFormat/>
    <w:uiPriority w:val="0"/>
    <w:rPr>
      <w:rFonts w:ascii="楷体_GB2312" w:eastAsia="楷体_GB2312" w:cs="楷体_GB2312"/>
      <w:sz w:val="28"/>
      <w:szCs w:val="28"/>
    </w:rPr>
  </w:style>
  <w:style w:type="character" w:customStyle="1" w:styleId="39">
    <w:name w:val="二级目录 Char"/>
    <w:link w:val="40"/>
    <w:qFormat/>
    <w:uiPriority w:val="99"/>
    <w:rPr>
      <w:rFonts w:ascii="Calibri" w:hAnsi="Calibri"/>
      <w:b/>
      <w:bCs/>
      <w:kern w:val="2"/>
      <w:sz w:val="28"/>
      <w:szCs w:val="28"/>
      <w:lang w:val="en-US" w:eastAsia="zh-CN" w:bidi="ar-SA"/>
    </w:rPr>
  </w:style>
  <w:style w:type="paragraph" w:customStyle="1" w:styleId="40">
    <w:name w:val="二级目录"/>
    <w:next w:val="1"/>
    <w:link w:val="39"/>
    <w:qFormat/>
    <w:uiPriority w:val="99"/>
    <w:pPr>
      <w:numPr>
        <w:ilvl w:val="0"/>
        <w:numId w:val="2"/>
      </w:numPr>
      <w:outlineLvl w:val="1"/>
    </w:pPr>
    <w:rPr>
      <w:rFonts w:ascii="Calibri" w:hAnsi="Calibri" w:eastAsia="宋体" w:cs="Times New Roman"/>
      <w:b/>
      <w:bCs/>
      <w:kern w:val="2"/>
      <w:sz w:val="28"/>
      <w:szCs w:val="28"/>
      <w:lang w:val="en-US" w:eastAsia="zh-CN" w:bidi="ar-SA"/>
    </w:rPr>
  </w:style>
  <w:style w:type="character" w:customStyle="1" w:styleId="41">
    <w:name w:val="gjfg"/>
    <w:basedOn w:val="26"/>
    <w:qFormat/>
    <w:uiPriority w:val="0"/>
  </w:style>
  <w:style w:type="character" w:customStyle="1" w:styleId="42">
    <w:name w:val="一级目录 Char"/>
    <w:link w:val="43"/>
    <w:qFormat/>
    <w:locked/>
    <w:uiPriority w:val="99"/>
    <w:rPr>
      <w:rFonts w:ascii="黑体" w:eastAsia="黑体"/>
      <w:b/>
      <w:bCs/>
      <w:kern w:val="2"/>
      <w:sz w:val="44"/>
      <w:szCs w:val="44"/>
      <w:lang w:val="en-US" w:eastAsia="zh-CN" w:bidi="ar-SA"/>
    </w:rPr>
  </w:style>
  <w:style w:type="paragraph" w:customStyle="1" w:styleId="43">
    <w:name w:val="一级目录"/>
    <w:next w:val="1"/>
    <w:link w:val="42"/>
    <w:qFormat/>
    <w:uiPriority w:val="99"/>
    <w:pPr>
      <w:spacing w:afterLines="100"/>
      <w:jc w:val="center"/>
      <w:outlineLvl w:val="0"/>
    </w:pPr>
    <w:rPr>
      <w:rFonts w:ascii="黑体" w:hAnsi="Times New Roman" w:eastAsia="黑体" w:cs="Times New Roman"/>
      <w:b/>
      <w:bCs/>
      <w:kern w:val="2"/>
      <w:sz w:val="44"/>
      <w:szCs w:val="44"/>
      <w:lang w:val="en-US" w:eastAsia="zh-CN" w:bidi="ar-SA"/>
    </w:rPr>
  </w:style>
  <w:style w:type="character" w:customStyle="1" w:styleId="44">
    <w:name w:val="x-tab-strip-text14"/>
    <w:basedOn w:val="26"/>
    <w:qFormat/>
    <w:uiPriority w:val="0"/>
  </w:style>
  <w:style w:type="character" w:customStyle="1" w:styleId="45">
    <w:name w:val="x-tab-strip-text12"/>
    <w:basedOn w:val="26"/>
    <w:qFormat/>
    <w:uiPriority w:val="0"/>
    <w:rPr>
      <w:b/>
      <w:color w:val="15428B"/>
    </w:rPr>
  </w:style>
  <w:style w:type="character" w:customStyle="1" w:styleId="46">
    <w:name w:val="批注主题 Char"/>
    <w:link w:val="22"/>
    <w:semiHidden/>
    <w:qFormat/>
    <w:uiPriority w:val="0"/>
    <w:rPr>
      <w:rFonts w:ascii="Calibri" w:hAnsi="Calibri" w:cs="Calibri"/>
      <w:b/>
      <w:bCs/>
      <w:kern w:val="2"/>
      <w:sz w:val="21"/>
      <w:szCs w:val="21"/>
    </w:rPr>
  </w:style>
  <w:style w:type="character" w:customStyle="1" w:styleId="47">
    <w:name w:val="qxdate"/>
    <w:basedOn w:val="26"/>
    <w:qFormat/>
    <w:uiPriority w:val="0"/>
    <w:rPr>
      <w:color w:val="333333"/>
      <w:sz w:val="18"/>
      <w:szCs w:val="18"/>
    </w:rPr>
  </w:style>
  <w:style w:type="character" w:customStyle="1" w:styleId="48">
    <w:name w:val="on"/>
    <w:basedOn w:val="26"/>
    <w:qFormat/>
    <w:uiPriority w:val="0"/>
    <w:rPr>
      <w:rFonts w:ascii="Tahoma" w:hAnsi="Tahoma" w:eastAsia="Tahoma" w:cs="Tahoma"/>
      <w:color w:val="004080"/>
      <w:sz w:val="18"/>
      <w:szCs w:val="18"/>
      <w:shd w:val="clear" w:color="auto" w:fill="9FD6FF"/>
    </w:rPr>
  </w:style>
  <w:style w:type="character" w:customStyle="1" w:styleId="49">
    <w:name w:val="task-item-subject"/>
    <w:basedOn w:val="26"/>
    <w:qFormat/>
    <w:uiPriority w:val="0"/>
  </w:style>
  <w:style w:type="character" w:customStyle="1" w:styleId="50">
    <w:name w:val="x-tab-strip-text17"/>
    <w:basedOn w:val="26"/>
    <w:qFormat/>
    <w:uiPriority w:val="0"/>
    <w:rPr>
      <w:color w:val="02245B"/>
    </w:rPr>
  </w:style>
  <w:style w:type="character" w:customStyle="1" w:styleId="51">
    <w:name w:val="display"/>
    <w:basedOn w:val="26"/>
    <w:qFormat/>
    <w:uiPriority w:val="0"/>
    <w:rPr>
      <w:bdr w:val="single" w:color="AAAAAA" w:sz="6" w:space="0"/>
    </w:rPr>
  </w:style>
  <w:style w:type="character" w:customStyle="1" w:styleId="52">
    <w:name w:val="img"/>
    <w:basedOn w:val="26"/>
    <w:qFormat/>
    <w:uiPriority w:val="0"/>
  </w:style>
  <w:style w:type="character" w:customStyle="1" w:styleId="53">
    <w:name w:val="display1"/>
    <w:basedOn w:val="26"/>
    <w:qFormat/>
    <w:uiPriority w:val="0"/>
  </w:style>
  <w:style w:type="character" w:customStyle="1" w:styleId="54">
    <w:name w:val="btnbargray"/>
    <w:basedOn w:val="26"/>
    <w:qFormat/>
    <w:uiPriority w:val="0"/>
    <w:rPr>
      <w:color w:val="808080"/>
    </w:rPr>
  </w:style>
  <w:style w:type="character" w:customStyle="1" w:styleId="55">
    <w:name w:val="x-tab-strip-text15"/>
    <w:basedOn w:val="26"/>
    <w:qFormat/>
    <w:uiPriority w:val="0"/>
    <w:rPr>
      <w:color w:val="246BB3"/>
    </w:rPr>
  </w:style>
  <w:style w:type="character" w:customStyle="1" w:styleId="56">
    <w:name w:val="displayarti"/>
    <w:basedOn w:val="26"/>
    <w:qFormat/>
    <w:uiPriority w:val="0"/>
    <w:rPr>
      <w:color w:val="FFFFFF"/>
      <w:shd w:val="clear" w:color="auto" w:fill="A00000"/>
    </w:rPr>
  </w:style>
  <w:style w:type="character" w:customStyle="1" w:styleId="57">
    <w:name w:val="redfilefwwh"/>
    <w:basedOn w:val="26"/>
    <w:qFormat/>
    <w:uiPriority w:val="0"/>
    <w:rPr>
      <w:color w:val="BA2636"/>
      <w:sz w:val="18"/>
      <w:szCs w:val="18"/>
    </w:rPr>
  </w:style>
  <w:style w:type="character" w:customStyle="1" w:styleId="58">
    <w:name w:val="subdisplay1"/>
    <w:basedOn w:val="26"/>
    <w:qFormat/>
    <w:uiPriority w:val="0"/>
    <w:rPr>
      <w:color w:val="808080"/>
    </w:rPr>
  </w:style>
  <w:style w:type="character" w:customStyle="1" w:styleId="59">
    <w:name w:val="groupcaptionhandler"/>
    <w:basedOn w:val="26"/>
    <w:qFormat/>
    <w:uiPriority w:val="0"/>
  </w:style>
  <w:style w:type="character" w:customStyle="1" w:styleId="60">
    <w:name w:val="x-tab-strip-text11"/>
    <w:basedOn w:val="26"/>
    <w:qFormat/>
    <w:uiPriority w:val="0"/>
  </w:style>
  <w:style w:type="character" w:customStyle="1" w:styleId="61">
    <w:name w:val="display2"/>
    <w:basedOn w:val="26"/>
    <w:qFormat/>
    <w:uiPriority w:val="0"/>
  </w:style>
  <w:style w:type="character" w:customStyle="1" w:styleId="62">
    <w:name w:val="批注框文本 Char"/>
    <w:link w:val="13"/>
    <w:qFormat/>
    <w:uiPriority w:val="0"/>
    <w:rPr>
      <w:rFonts w:ascii="Calibri" w:hAnsi="Calibri" w:cs="Calibri"/>
      <w:kern w:val="2"/>
      <w:sz w:val="18"/>
      <w:szCs w:val="18"/>
    </w:rPr>
  </w:style>
  <w:style w:type="character" w:customStyle="1" w:styleId="63">
    <w:name w:val="x-tab-strip-text16"/>
    <w:basedOn w:val="26"/>
    <w:qFormat/>
    <w:uiPriority w:val="0"/>
    <w:rPr>
      <w:color w:val="012F5E"/>
    </w:rPr>
  </w:style>
  <w:style w:type="character" w:customStyle="1" w:styleId="64">
    <w:name w:val="批注文字 Char"/>
    <w:link w:val="9"/>
    <w:semiHidden/>
    <w:qFormat/>
    <w:uiPriority w:val="0"/>
    <w:rPr>
      <w:rFonts w:ascii="Calibri" w:hAnsi="Calibri" w:cs="Calibri"/>
      <w:kern w:val="2"/>
      <w:sz w:val="21"/>
      <w:szCs w:val="21"/>
    </w:rPr>
  </w:style>
  <w:style w:type="character" w:customStyle="1" w:styleId="65">
    <w:name w:val="redfilenumber"/>
    <w:basedOn w:val="26"/>
    <w:qFormat/>
    <w:uiPriority w:val="0"/>
    <w:rPr>
      <w:color w:val="BA2636"/>
      <w:sz w:val="18"/>
      <w:szCs w:val="18"/>
    </w:rPr>
  </w:style>
  <w:style w:type="character" w:customStyle="1" w:styleId="66">
    <w:name w:val="标题 2 Char"/>
    <w:link w:val="5"/>
    <w:qFormat/>
    <w:locked/>
    <w:uiPriority w:val="99"/>
    <w:rPr>
      <w:rFonts w:ascii="Arial" w:hAnsi="Arial" w:eastAsia="红豆幼黑体" w:cs="Arial"/>
      <w:b/>
      <w:bCs/>
      <w:sz w:val="44"/>
      <w:szCs w:val="44"/>
    </w:rPr>
  </w:style>
  <w:style w:type="character" w:customStyle="1" w:styleId="67">
    <w:name w:val="img1"/>
    <w:basedOn w:val="26"/>
    <w:qFormat/>
    <w:uiPriority w:val="0"/>
  </w:style>
  <w:style w:type="character" w:customStyle="1" w:styleId="68">
    <w:name w:val="cfdate"/>
    <w:basedOn w:val="26"/>
    <w:qFormat/>
    <w:uiPriority w:val="0"/>
    <w:rPr>
      <w:color w:val="333333"/>
      <w:sz w:val="18"/>
      <w:szCs w:val="18"/>
    </w:rPr>
  </w:style>
  <w:style w:type="character" w:customStyle="1" w:styleId="69">
    <w:name w:val="x-tab-strip-text18"/>
    <w:basedOn w:val="26"/>
    <w:qFormat/>
    <w:uiPriority w:val="0"/>
    <w:rPr>
      <w:color w:val="15428B"/>
    </w:rPr>
  </w:style>
  <w:style w:type="character" w:customStyle="1" w:styleId="70">
    <w:name w:val="x-tab-strip-text9"/>
    <w:basedOn w:val="26"/>
    <w:qFormat/>
    <w:uiPriority w:val="0"/>
    <w:rPr>
      <w:rFonts w:ascii="宋体" w:hAnsi="宋体" w:eastAsia="宋体" w:cs="宋体"/>
      <w:color w:val="416AA3"/>
      <w:sz w:val="18"/>
      <w:szCs w:val="18"/>
    </w:rPr>
  </w:style>
  <w:style w:type="character" w:customStyle="1" w:styleId="71">
    <w:name w:val="x-tab-strip-text13"/>
    <w:basedOn w:val="26"/>
    <w:qFormat/>
    <w:uiPriority w:val="0"/>
    <w:rPr>
      <w:color w:val="FFFFFF"/>
    </w:rPr>
  </w:style>
  <w:style w:type="character" w:customStyle="1" w:styleId="72">
    <w:name w:val="subdisplay"/>
    <w:basedOn w:val="26"/>
    <w:qFormat/>
    <w:uiPriority w:val="0"/>
    <w:rPr>
      <w:color w:val="808080"/>
    </w:rPr>
  </w:style>
  <w:style w:type="character" w:customStyle="1" w:styleId="73">
    <w:name w:val="副标题 Char"/>
    <w:link w:val="17"/>
    <w:qFormat/>
    <w:uiPriority w:val="0"/>
    <w:rPr>
      <w:rFonts w:ascii="Cambria" w:hAnsi="Cambria" w:cs="Times New Roman"/>
      <w:b/>
      <w:bCs/>
      <w:kern w:val="28"/>
      <w:sz w:val="32"/>
      <w:szCs w:val="32"/>
    </w:rPr>
  </w:style>
  <w:style w:type="character" w:customStyle="1" w:styleId="74">
    <w:name w:val="x-tab-strip-text10"/>
    <w:basedOn w:val="26"/>
    <w:qFormat/>
    <w:uiPriority w:val="0"/>
  </w:style>
  <w:style w:type="character" w:customStyle="1" w:styleId="75">
    <w:name w:val="x-tab-strip-text8"/>
    <w:basedOn w:val="26"/>
    <w:qFormat/>
    <w:uiPriority w:val="0"/>
  </w:style>
  <w:style w:type="paragraph" w:customStyle="1" w:styleId="76">
    <w:name w:val="Table Paragraph"/>
    <w:basedOn w:val="1"/>
    <w:qFormat/>
    <w:uiPriority w:val="1"/>
  </w:style>
  <w:style w:type="paragraph" w:styleId="77">
    <w:name w:val="List Paragraph"/>
    <w:basedOn w:val="1"/>
    <w:qFormat/>
    <w:uiPriority w:val="34"/>
    <w:pPr>
      <w:ind w:firstLine="420" w:firstLineChars="200"/>
    </w:pPr>
  </w:style>
  <w:style w:type="paragraph" w:customStyle="1" w:styleId="78">
    <w:name w:val="Char1"/>
    <w:basedOn w:val="1"/>
    <w:qFormat/>
    <w:uiPriority w:val="99"/>
    <w:rPr>
      <w:rFonts w:ascii="Tahoma" w:hAnsi="Tahoma" w:cs="Tahoma"/>
      <w:sz w:val="24"/>
      <w:szCs w:val="24"/>
    </w:rPr>
  </w:style>
  <w:style w:type="paragraph" w:customStyle="1" w:styleId="79">
    <w:name w:val="列出段落1"/>
    <w:basedOn w:val="1"/>
    <w:qFormat/>
    <w:uiPriority w:val="99"/>
    <w:pPr>
      <w:ind w:firstLine="420" w:firstLineChars="200"/>
    </w:pPr>
  </w:style>
  <w:style w:type="paragraph" w:customStyle="1" w:styleId="80">
    <w:name w:val="_Style 2"/>
    <w:basedOn w:val="1"/>
    <w:qFormat/>
    <w:uiPriority w:val="34"/>
    <w:pPr>
      <w:ind w:firstLine="420" w:firstLineChars="200"/>
    </w:pPr>
  </w:style>
  <w:style w:type="paragraph" w:customStyle="1" w:styleId="81">
    <w:name w:val="段"/>
    <w:qFormat/>
    <w:uiPriority w:val="99"/>
    <w:pPr>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82">
    <w:name w:val="列表段落"/>
    <w:basedOn w:val="1"/>
    <w:qFormat/>
    <w:uiPriority w:val="34"/>
    <w:pPr>
      <w:ind w:firstLine="420" w:firstLineChars="200"/>
    </w:pPr>
  </w:style>
  <w:style w:type="paragraph" w:customStyle="1" w:styleId="83">
    <w:name w:val="普通正文"/>
    <w:basedOn w:val="1"/>
    <w:qFormat/>
    <w:uiPriority w:val="99"/>
    <w:pPr>
      <w:adjustRightInd w:val="0"/>
      <w:spacing w:before="120" w:after="120" w:line="360" w:lineRule="auto"/>
      <w:ind w:firstLine="480" w:firstLineChars="200"/>
      <w:jc w:val="left"/>
    </w:pPr>
    <w:rPr>
      <w:rFonts w:ascii="Arial" w:hAnsi="Arial" w:cs="Arial"/>
      <w:kern w:val="0"/>
      <w:sz w:val="24"/>
      <w:szCs w:val="24"/>
    </w:rPr>
  </w:style>
  <w:style w:type="paragraph" w:customStyle="1" w:styleId="8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85">
    <w:name w:val="_Style 3"/>
    <w:basedOn w:val="1"/>
    <w:next w:val="1"/>
    <w:qFormat/>
    <w:uiPriority w:val="99"/>
    <w:pPr>
      <w:widowControl/>
      <w:pBdr>
        <w:bottom w:val="single" w:color="auto" w:sz="6" w:space="1"/>
      </w:pBdr>
      <w:jc w:val="center"/>
    </w:pPr>
    <w:rPr>
      <w:rFonts w:ascii="Arial" w:hAnsi="Arial" w:cs="Arial"/>
      <w:vanish/>
      <w:kern w:val="0"/>
      <w:sz w:val="16"/>
      <w:szCs w:val="16"/>
    </w:rPr>
  </w:style>
  <w:style w:type="paragraph" w:customStyle="1" w:styleId="86">
    <w:name w:val="表中文字"/>
    <w:basedOn w:val="1"/>
    <w:qFormat/>
    <w:uiPriority w:val="0"/>
    <w:rPr>
      <w:rFonts w:ascii="Times New Roman" w:hAnsi="Times New Roman" w:eastAsia="宋体" w:cs="Times New Roman"/>
      <w:kern w:val="0"/>
      <w:sz w:val="24"/>
      <w:szCs w:val="24"/>
    </w:rPr>
  </w:style>
  <w:style w:type="table" w:customStyle="1" w:styleId="87">
    <w:name w:val="Table Normal"/>
    <w:unhideWhenUsed/>
    <w:qFormat/>
    <w:uiPriority w:val="2"/>
    <w:pPr>
      <w:widowControl w:val="0"/>
      <w:autoSpaceDE w:val="0"/>
      <w:autoSpaceDN w:val="0"/>
    </w:pPr>
    <w:rPr>
      <w:sz w:val="22"/>
      <w:lang w:val="en-US" w:eastAsia="en-US" w:bidi="ar-SA"/>
    </w:rPr>
    <w:tblPr>
      <w:tblCellMar>
        <w:top w:w="0" w:type="dxa"/>
        <w:left w:w="0" w:type="dxa"/>
        <w:bottom w:w="0" w:type="dxa"/>
        <w:right w:w="0" w:type="dxa"/>
      </w:tblCellMar>
    </w:tblPr>
  </w:style>
  <w:style w:type="paragraph" w:customStyle="1" w:styleId="88">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89">
    <w:name w:val="正文2"/>
    <w:basedOn w:val="1"/>
    <w:qFormat/>
    <w:uiPriority w:val="99"/>
    <w:pPr>
      <w:spacing w:before="156" w:line="360" w:lineRule="auto"/>
      <w:ind w:firstLine="510" w:firstLineChars="200"/>
    </w:pPr>
    <w:rPr>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34</Pages>
  <Words>2991</Words>
  <Characters>17055</Characters>
  <Lines>142</Lines>
  <Paragraphs>40</Paragraphs>
  <TotalTime>15</TotalTime>
  <ScaleCrop>false</ScaleCrop>
  <LinksUpToDate>false</LinksUpToDate>
  <CharactersWithSpaces>20006</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2020-07-03T06:46:00Z</dcterms:created>
  <dc:creator>炎凉1383733811</dc:creator>
  <cp:lastModifiedBy>米苏</cp:lastModifiedBy>
  <cp:lastPrinted>2021-05-27T01:18:00Z</cp:lastPrinted>
  <dcterms:modified xsi:type="dcterms:W3CDTF">2021-10-13T08:19:18Z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KSOSaveFontToCloudKey">
    <vt:lpwstr>8068780_cloud</vt:lpwstr>
  </property>
  <property fmtid="{D5CDD505-2E9C-101B-9397-08002B2CF9AE}" pid="4" name="ICV">
    <vt:lpwstr>54B62DDAC8FC43549A48A2C3A298111E</vt:lpwstr>
  </property>
</Properties>
</file>