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ind w:firstLine="0" w:firstLineChars="0"/>
        <w:rPr>
          <w:rFonts w:eastAsia="黑体"/>
          <w:b/>
          <w:bCs/>
          <w:sz w:val="84"/>
        </w:rPr>
      </w:pPr>
    </w:p>
    <w:p>
      <w:pPr>
        <w:pStyle w:val="2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22"/>
        <w:ind w:firstLine="0" w:firstLineChars="0"/>
        <w:jc w:val="both"/>
        <w:rPr>
          <w:rFonts w:hint="eastAsia" w:ascii="楷体" w:hAnsi="楷体" w:eastAsia="楷体" w:cs="楷体"/>
          <w:b/>
          <w:bCs/>
          <w:sz w:val="36"/>
          <w:szCs w:val="36"/>
        </w:rPr>
      </w:pPr>
    </w:p>
    <w:p>
      <w:pPr>
        <w:pStyle w:val="22"/>
        <w:ind w:firstLine="0" w:firstLineChars="0"/>
        <w:jc w:val="both"/>
        <w:rPr>
          <w:rFonts w:hint="eastAsia" w:ascii="楷体" w:hAnsi="楷体" w:eastAsia="楷体" w:cs="楷体"/>
          <w:b/>
          <w:bCs/>
          <w:sz w:val="36"/>
          <w:szCs w:val="36"/>
        </w:rPr>
      </w:pPr>
    </w:p>
    <w:p>
      <w:pPr>
        <w:spacing w:after="156" w:afterLines="50" w:line="640" w:lineRule="exact"/>
        <w:ind w:left="838" w:leftChars="399" w:firstLine="0" w:firstLineChars="0"/>
        <w:jc w:val="both"/>
        <w:rPr>
          <w:rFonts w:hint="eastAsia" w:ascii="楷体" w:hAnsi="楷体" w:eastAsia="楷体" w:cs="楷体"/>
          <w:b/>
          <w:bCs/>
          <w:sz w:val="40"/>
          <w:szCs w:val="40"/>
          <w:lang w:eastAsia="zh-CN"/>
        </w:rPr>
      </w:pPr>
      <w:r>
        <w:rPr>
          <w:rFonts w:hint="eastAsia" w:ascii="楷体" w:hAnsi="楷体" w:eastAsia="楷体" w:cs="楷体"/>
          <w:b/>
          <w:bCs/>
          <w:sz w:val="40"/>
          <w:szCs w:val="40"/>
        </w:rPr>
        <w:t>项目名称：南京交通职业技术学院</w:t>
      </w:r>
      <w:r>
        <w:rPr>
          <w:rFonts w:hint="eastAsia" w:ascii="楷体" w:hAnsi="楷体" w:eastAsia="楷体" w:cs="楷体"/>
          <w:b/>
          <w:bCs/>
          <w:sz w:val="40"/>
          <w:szCs w:val="40"/>
          <w:lang w:eastAsia="zh-CN"/>
        </w:rPr>
        <w:t>学校</w:t>
      </w:r>
    </w:p>
    <w:p>
      <w:pPr>
        <w:spacing w:after="156" w:afterLines="50" w:line="640" w:lineRule="exact"/>
        <w:ind w:left="838" w:leftChars="399" w:firstLine="0" w:firstLineChars="0"/>
        <w:jc w:val="center"/>
        <w:rPr>
          <w:rFonts w:hint="eastAsia" w:ascii="楷体" w:hAnsi="楷体" w:eastAsia="楷体" w:cs="楷体"/>
          <w:b/>
          <w:bCs/>
          <w:sz w:val="40"/>
          <w:szCs w:val="40"/>
        </w:rPr>
      </w:pPr>
      <w:r>
        <w:rPr>
          <w:rFonts w:hint="eastAsia" w:ascii="楷体" w:hAnsi="楷体" w:eastAsia="楷体" w:cs="楷体"/>
          <w:b/>
          <w:bCs/>
          <w:sz w:val="40"/>
          <w:szCs w:val="40"/>
          <w:lang w:eastAsia="zh-CN"/>
        </w:rPr>
        <w:t>网络建设项目监理</w:t>
      </w:r>
      <w:r>
        <w:rPr>
          <w:rFonts w:hint="eastAsia" w:ascii="楷体" w:hAnsi="楷体" w:eastAsia="楷体" w:cs="楷体"/>
          <w:b/>
          <w:bCs/>
          <w:sz w:val="40"/>
          <w:szCs w:val="40"/>
        </w:rPr>
        <w:t>项目</w:t>
      </w:r>
    </w:p>
    <w:p>
      <w:pPr>
        <w:spacing w:line="640" w:lineRule="exact"/>
        <w:ind w:left="838" w:leftChars="399" w:firstLine="0" w:firstLineChars="0"/>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项目编号：JY2020</w:t>
      </w:r>
      <w:r>
        <w:rPr>
          <w:rFonts w:hint="eastAsia" w:ascii="楷体" w:hAnsi="楷体" w:eastAsia="楷体" w:cs="楷体"/>
          <w:b/>
          <w:bCs/>
          <w:sz w:val="40"/>
          <w:szCs w:val="40"/>
          <w:lang w:val="en-US" w:eastAsia="zh-CN"/>
        </w:rPr>
        <w:t>072</w:t>
      </w:r>
    </w:p>
    <w:p>
      <w:pPr>
        <w:pStyle w:val="22"/>
        <w:ind w:firstLine="0" w:firstLineChars="0"/>
        <w:jc w:val="both"/>
        <w:rPr>
          <w:rFonts w:ascii="宋体" w:hAnsi="宋体"/>
          <w:b/>
          <w:bCs/>
          <w:sz w:val="36"/>
          <w:szCs w:val="36"/>
        </w:rPr>
      </w:pPr>
    </w:p>
    <w:p>
      <w:pPr>
        <w:pStyle w:val="22"/>
        <w:ind w:firstLine="723"/>
        <w:jc w:val="both"/>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22"/>
        <w:ind w:firstLine="723"/>
        <w:jc w:val="center"/>
        <w:rPr>
          <w:rFonts w:hint="eastAsia" w:ascii="楷体" w:hAnsi="楷体" w:eastAsia="楷体" w:cs="楷体"/>
          <w:b/>
          <w:bCs/>
          <w:sz w:val="36"/>
          <w:szCs w:val="36"/>
        </w:rPr>
      </w:pPr>
    </w:p>
    <w:p>
      <w:pPr>
        <w:pStyle w:val="2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〇 年 </w:t>
      </w:r>
      <w:r>
        <w:rPr>
          <w:rFonts w:hint="eastAsia" w:ascii="楷体" w:hAnsi="楷体" w:eastAsia="楷体" w:cs="楷体"/>
          <w:b/>
          <w:bCs/>
          <w:sz w:val="36"/>
          <w:szCs w:val="36"/>
          <w:lang w:val="en-US" w:eastAsia="zh-CN"/>
        </w:rPr>
        <w:t>八</w:t>
      </w:r>
      <w:r>
        <w:rPr>
          <w:rFonts w:hint="eastAsia" w:ascii="楷体" w:hAnsi="楷体" w:eastAsia="楷体" w:cs="楷体"/>
          <w:b/>
          <w:bCs/>
          <w:sz w:val="36"/>
          <w:szCs w:val="36"/>
        </w:rPr>
        <w:t xml:space="preserve"> 月</w:t>
      </w:r>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楷体" w:hAnsi="楷体" w:eastAsia="楷体" w:cs="楷体"/>
          <w:kern w:val="2"/>
          <w:sz w:val="21"/>
          <w:szCs w:val="21"/>
        </w:rPr>
      </w:pPr>
      <w:r>
        <w:rPr>
          <w:rFonts w:hint="eastAsia" w:ascii="楷体" w:hAnsi="楷体" w:eastAsia="楷体" w:cs="楷体"/>
          <w:kern w:val="2"/>
          <w:sz w:val="21"/>
          <w:szCs w:val="21"/>
        </w:rPr>
        <w:br w:type="page"/>
      </w:r>
      <w:bookmarkStart w:id="0" w:name="_Toc120614210"/>
      <w:bookmarkStart w:id="1" w:name="_Toc523127445"/>
      <w:bookmarkStart w:id="2" w:name="_Toc513029200"/>
      <w:bookmarkStart w:id="3" w:name="_Toc20823272"/>
      <w:bookmarkStart w:id="4" w:name="_Toc479757206"/>
      <w:bookmarkStart w:id="5" w:name="_Toc16938516"/>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目    录</w:t>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_Toc5406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第一章  采购邀请</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_Toc5406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_Toc27034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一、采购项目简要说明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_Toc27034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_Toc10733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二、合格磋商供应商资格要求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_Toc10733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_Toc20365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三、磋商文件发布信息及报名要求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_Toc20365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_Toc2830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四、响应文件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_Toc2830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_Toc29400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五、磋商保证金</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_Toc29400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_Toc20037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六、采购人联系方式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_Toc20037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_Toc7825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第二章  磋商须知</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_Toc7825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_Toc29990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一、总则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_Toc29990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_Toc3435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二、响应文件编制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_Toc3435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_Toc22852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三、响应文件签署与提交</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_Toc22852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_Toc15791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四、磋商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_Toc15791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_Toc26301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w:t>
      </w:r>
      <w:r>
        <w:rPr>
          <w:rFonts w:hint="eastAsia" w:ascii="方正楷体_GBK" w:hAnsi="方正楷体_GBK" w:eastAsia="方正楷体_GBK" w:cs="方正楷体_GBK"/>
          <w:lang w:val="zh-CN"/>
        </w:rPr>
        <w:t>、询问、质疑、投诉和诚实信用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_Toc26301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_Toc7702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 xml:space="preserve">第三章  </w:t>
      </w:r>
      <w:r>
        <w:rPr>
          <w:rFonts w:hint="eastAsia" w:ascii="方正楷体_GBK" w:hAnsi="方正楷体_GBK" w:eastAsia="方正楷体_GBK" w:cs="方正楷体_GBK"/>
        </w:rPr>
        <w:t>项目需求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_Toc7702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_Toc48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一、项目概况</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_Toc48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_Toc8806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lang w:val="zh-CN"/>
        </w:rPr>
        <w:t>、供应商要求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_Toc8806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_Toc32611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第四章  评审方法和评审标准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_Toc32611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一、评标方法与定标原则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_Toc8228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rPr>
        <w:t>成交标准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_Toc8228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_Toc29622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第五章  磋商响应文件格式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_Toc29622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_Toc20268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一、磋商函</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_Toc20268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28</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_Toc17846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二、报价表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_Toc17846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29</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_Toc25862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三、服务要求响应表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_Toc25862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_Toc25918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四、服务方案</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_Toc25918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_Toc21836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五、企业资质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_Toc21836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_Toc20851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六、合同条款及格式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_Toc20851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_Toc23738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七、</w:t>
      </w:r>
      <w:r>
        <w:rPr>
          <w:rFonts w:hint="eastAsia" w:ascii="方正楷体_GBK" w:hAnsi="方正楷体_GBK" w:eastAsia="方正楷体_GBK" w:cs="方正楷体_GBK"/>
        </w:rPr>
        <w:t>相关附表格式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_Toc23738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35</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_Toc19874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件1：法人授权委托书</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_Toc19874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35</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_Toc19684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件2：具备履行合同所必需的设备和专业技术能力的书面声明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_Toc19684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_Toc31391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w:t>
      </w:r>
      <w:r>
        <w:rPr>
          <w:rFonts w:hint="eastAsia" w:ascii="方正楷体_GBK" w:hAnsi="方正楷体_GBK" w:eastAsia="方正楷体_GBK" w:cs="方正楷体_GBK"/>
          <w:lang w:val="en-US" w:eastAsia="zh-CN"/>
        </w:rPr>
        <w:t>3</w:t>
      </w:r>
      <w:r>
        <w:rPr>
          <w:rFonts w:hint="eastAsia" w:ascii="方正楷体_GBK" w:hAnsi="方正楷体_GBK" w:eastAsia="方正楷体_GBK" w:cs="方正楷体_GBK"/>
        </w:rPr>
        <w:t>：三年内无重大违纪声明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_Toc31391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_Toc19093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件4：中小企业声明函格式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_Toc19093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38</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31882"/>
      <w:bookmarkStart w:id="7" w:name="_Toc10896"/>
      <w:bookmarkStart w:id="8" w:name="_Toc324237145"/>
    </w:p>
    <w:p>
      <w:pPr>
        <w:pStyle w:val="3"/>
        <w:bidi w:val="0"/>
      </w:pPr>
      <w:bookmarkStart w:id="9" w:name="_Toc5406"/>
      <w:r>
        <w:rPr>
          <w:rFonts w:hint="eastAsia"/>
        </w:rPr>
        <w:t xml:space="preserve">第一章  </w:t>
      </w:r>
      <w:bookmarkEnd w:id="0"/>
      <w:bookmarkEnd w:id="6"/>
      <w:bookmarkEnd w:id="7"/>
      <w:bookmarkEnd w:id="8"/>
      <w:r>
        <w:rPr>
          <w:rFonts w:hint="eastAsia"/>
        </w:rPr>
        <w:t>采购邀请</w:t>
      </w:r>
      <w:bookmarkEnd w:id="9"/>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lang w:val="en-US" w:eastAsia="zh-CN"/>
        </w:rPr>
        <w:t>信息化建设与管理办公室</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w:t>
      </w:r>
      <w:r>
        <w:rPr>
          <w:rFonts w:hint="eastAsia" w:ascii="楷体" w:hAnsi="楷体" w:eastAsia="楷体" w:cs="楷体"/>
          <w:b/>
          <w:bCs/>
          <w:sz w:val="24"/>
          <w:szCs w:val="24"/>
        </w:rPr>
        <w:t>竞争性磋商</w:t>
      </w:r>
      <w:r>
        <w:rPr>
          <w:rFonts w:hint="eastAsia" w:ascii="楷体" w:hAnsi="楷体" w:eastAsia="楷体" w:cs="楷体"/>
          <w:sz w:val="24"/>
          <w:szCs w:val="24"/>
        </w:rPr>
        <w:t>采购，欢迎符合条商参加磋商。</w:t>
      </w:r>
    </w:p>
    <w:p>
      <w:pPr>
        <w:pStyle w:val="4"/>
        <w:bidi w:val="0"/>
        <w:rPr>
          <w:rFonts w:hint="eastAsia"/>
        </w:rPr>
      </w:pPr>
      <w:bookmarkStart w:id="10" w:name="_Toc27034"/>
      <w:r>
        <w:rPr>
          <w:rFonts w:hint="eastAsia"/>
        </w:rPr>
        <w:t>一、采购项目简要说明</w:t>
      </w:r>
      <w:bookmarkEnd w:id="10"/>
    </w:p>
    <w:tbl>
      <w:tblPr>
        <w:tblStyle w:val="12"/>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JY2020</w:t>
            </w:r>
            <w:bookmarkStart w:id="140" w:name="_GoBack"/>
            <w:bookmarkEnd w:id="140"/>
            <w:r>
              <w:rPr>
                <w:rFonts w:hint="eastAsia" w:ascii="楷体" w:hAnsi="楷体" w:eastAsia="楷体" w:cs="楷体"/>
                <w:b/>
                <w:bCs/>
                <w:sz w:val="24"/>
                <w:szCs w:val="24"/>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2"/>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实施竞争性磋商采购。由成交供应商按采购人要求进行</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服务。</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18.5</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人民币叁仟元整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31</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28日</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前将确认</w:t>
            </w:r>
          </w:p>
          <w:p>
            <w:pPr>
              <w:spacing w:line="324" w:lineRule="auto"/>
              <w:rPr>
                <w:rFonts w:hint="eastAsia" w:ascii="楷体" w:hAnsi="楷体" w:eastAsia="楷体" w:cs="楷体"/>
                <w:sz w:val="24"/>
                <w:szCs w:val="24"/>
              </w:rPr>
            </w:pPr>
            <w:r>
              <w:rPr>
                <w:rFonts w:hint="eastAsia" w:ascii="楷体" w:hAnsi="楷体" w:eastAsia="楷体" w:cs="楷体"/>
                <w:sz w:val="24"/>
                <w:szCs w:val="24"/>
              </w:rPr>
              <w:t>发送至邮箱cgb@njitt.edu.cn，采购办不接受没有报名认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
        <w:bidi w:val="0"/>
        <w:rPr>
          <w:rFonts w:hint="eastAsia"/>
        </w:rPr>
      </w:pPr>
      <w:bookmarkStart w:id="11" w:name="_Toc10733"/>
      <w:r>
        <w:rPr>
          <w:rFonts w:hint="eastAsia"/>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2、磋商供应商具有良好的商业信誉和健全的财务会计制度，提供2019年度经审计的财务审计报告（至少包含资产负债表、利润表，成立不满一年不需提供）；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
        <w:bidi w:val="0"/>
        <w:rPr>
          <w:rFonts w:hint="eastAsia" w:ascii="Arial" w:hAnsi="Arial"/>
          <w:b/>
        </w:rPr>
      </w:pPr>
      <w:bookmarkStart w:id="17" w:name="_Toc20365"/>
      <w:r>
        <w:rPr>
          <w:rFonts w:hint="eastAsia" w:ascii="Arial" w:hAnsi="Arial"/>
          <w:b/>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
        <w:bidi w:val="0"/>
        <w:rPr>
          <w:rFonts w:hint="eastAsia" w:ascii="Arial" w:hAnsi="Arial"/>
          <w:b/>
        </w:rPr>
      </w:pPr>
      <w:bookmarkStart w:id="18" w:name="_Toc2830"/>
      <w:r>
        <w:rPr>
          <w:rFonts w:hint="eastAsia" w:ascii="Arial" w:hAnsi="Arial"/>
          <w:b/>
        </w:rPr>
        <w:t>四、响应文件</w:t>
      </w:r>
      <w:bookmarkEnd w:id="18"/>
      <w:r>
        <w:rPr>
          <w:rFonts w:hint="eastAsia" w:ascii="Arial" w:hAnsi="Arial"/>
          <w:b/>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4、响应文件接收及开启时间：</w:t>
      </w:r>
      <w:r>
        <w:rPr>
          <w:rFonts w:hint="eastAsia" w:ascii="楷体" w:hAnsi="楷体" w:eastAsia="楷体" w:cs="楷体"/>
          <w:bCs/>
          <w:sz w:val="24"/>
          <w:lang w:eastAsia="zh-CN"/>
        </w:rPr>
        <w:t>接收</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31 </w:t>
      </w:r>
      <w:r>
        <w:rPr>
          <w:rFonts w:hint="eastAsia" w:ascii="楷体" w:hAnsi="楷体" w:eastAsia="楷体" w:cs="楷体"/>
          <w:b/>
          <w:bCs/>
          <w:sz w:val="24"/>
          <w:szCs w:val="24"/>
        </w:rPr>
        <w:t>日</w:t>
      </w:r>
      <w:r>
        <w:rPr>
          <w:rFonts w:hint="eastAsia" w:ascii="楷体" w:hAnsi="楷体" w:eastAsia="楷体" w:cs="楷体"/>
          <w:b/>
          <w:bCs/>
          <w:sz w:val="28"/>
          <w:szCs w:val="28"/>
          <w:lang w:val="en-US" w:eastAsia="zh-CN"/>
        </w:rPr>
        <w:t>下</w:t>
      </w:r>
      <w:r>
        <w:rPr>
          <w:rFonts w:hint="eastAsia" w:ascii="楷体" w:hAnsi="楷体" w:eastAsia="楷体" w:cs="楷体"/>
          <w:b/>
          <w:bCs/>
          <w:sz w:val="24"/>
          <w:szCs w:val="24"/>
          <w:lang w:val="en-US" w:eastAsia="zh-CN"/>
        </w:rPr>
        <w:t>午2：00</w:t>
      </w:r>
      <w:r>
        <w:rPr>
          <w:rFonts w:hint="eastAsia" w:ascii="楷体" w:hAnsi="楷体" w:eastAsia="楷体" w:cs="楷体"/>
          <w:bCs/>
          <w:sz w:val="24"/>
        </w:rPr>
        <w:t xml:space="preserve"> </w:t>
      </w:r>
      <w:r>
        <w:rPr>
          <w:rFonts w:hint="eastAsia" w:ascii="楷体" w:hAnsi="楷体" w:eastAsia="楷体" w:cs="楷体"/>
          <w:bCs/>
          <w:sz w:val="24"/>
          <w:lang w:eastAsia="zh-CN"/>
        </w:rPr>
        <w:t>，开启：</w:t>
      </w:r>
      <w:r>
        <w:rPr>
          <w:rFonts w:hint="eastAsia" w:ascii="楷体" w:hAnsi="楷体" w:eastAsia="楷体" w:cs="楷体"/>
          <w:bCs/>
          <w:sz w:val="24"/>
          <w:lang w:val="en-US" w:eastAsia="zh-CN"/>
        </w:rPr>
        <w:t>2:30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
        <w:bidi w:val="0"/>
        <w:rPr>
          <w:rFonts w:hint="eastAsia" w:ascii="Arial" w:hAnsi="Arial"/>
          <w:b/>
        </w:rPr>
      </w:pPr>
      <w:bookmarkStart w:id="19" w:name="_Toc29400"/>
      <w:r>
        <w:rPr>
          <w:rFonts w:hint="eastAsia" w:ascii="Arial" w:hAnsi="Arial"/>
          <w:b/>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rPr>
        <w:t>叁仟元</w:t>
      </w:r>
      <w:r>
        <w:rPr>
          <w:rFonts w:hint="eastAsia" w:ascii="楷体" w:hAnsi="楷体" w:eastAsia="楷体" w:cs="楷体"/>
          <w:bCs/>
          <w:sz w:val="24"/>
        </w:rPr>
        <w:t>圆整(现金信封密封好，现场收取)， 成交后转为履约保证金。</w:t>
      </w:r>
    </w:p>
    <w:p>
      <w:pPr>
        <w:pStyle w:val="4"/>
        <w:bidi w:val="0"/>
        <w:rPr>
          <w:rFonts w:hint="eastAsia" w:ascii="Arial" w:hAnsi="Arial"/>
          <w:b/>
        </w:rPr>
      </w:pPr>
      <w:bookmarkStart w:id="20" w:name="_Toc20037"/>
      <w:r>
        <w:rPr>
          <w:rFonts w:hint="eastAsia" w:ascii="Arial" w:hAnsi="Arial"/>
          <w:b/>
        </w:rPr>
        <w:t>六、采购人联系方式</w:t>
      </w:r>
      <w:bookmarkEnd w:id="20"/>
    </w:p>
    <w:p>
      <w:pPr>
        <w:snapToGrid w:val="0"/>
        <w:spacing w:line="360" w:lineRule="auto"/>
        <w:ind w:firstLine="480" w:firstLineChars="200"/>
        <w:jc w:val="left"/>
        <w:rPr>
          <w:rFonts w:hint="default" w:ascii="楷体" w:hAnsi="楷体" w:eastAsia="楷体" w:cs="楷体"/>
          <w:bCs/>
          <w:sz w:val="24"/>
          <w:lang w:val="en-US" w:eastAsia="zh-CN"/>
        </w:rPr>
      </w:pPr>
      <w:r>
        <w:rPr>
          <w:rFonts w:hint="eastAsia" w:ascii="楷体" w:hAnsi="楷体" w:eastAsia="楷体" w:cs="楷体"/>
          <w:bCs/>
          <w:sz w:val="24"/>
          <w:lang w:val="en-US" w:eastAsia="zh-CN"/>
        </w:rPr>
        <w:t>信息化建设与管理办公室</w:t>
      </w:r>
      <w:r>
        <w:rPr>
          <w:rFonts w:ascii="楷体" w:hAnsi="楷体" w:eastAsia="楷体" w:cs="楷体"/>
          <w:bCs/>
          <w:sz w:val="24"/>
        </w:rPr>
        <w:t>：</w:t>
      </w:r>
      <w:r>
        <w:rPr>
          <w:rFonts w:hint="eastAsia" w:ascii="楷体" w:hAnsi="楷体" w:eastAsia="楷体" w:cs="楷体"/>
          <w:bCs/>
          <w:sz w:val="24"/>
          <w:lang w:val="en-US" w:eastAsia="zh-CN"/>
        </w:rPr>
        <w:t>陈</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86115735</w:t>
      </w:r>
      <w:r>
        <w:rPr>
          <w:rFonts w:hint="eastAsia" w:ascii="楷体" w:hAnsi="楷体" w:eastAsia="楷体" w:cs="楷体"/>
          <w:bCs/>
          <w:sz w:val="24"/>
          <w:lang w:val="en-US" w:eastAsia="zh-CN"/>
        </w:rPr>
        <w:t xml:space="preserve">/18626440077 </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hint="eastAsia" w:ascii="楷体" w:hAnsi="楷体" w:eastAsia="楷体" w:cs="楷体"/>
          <w:bCs/>
          <w:sz w:val="24"/>
          <w:lang w:val="en-US" w:eastAsia="zh-CN"/>
        </w:rPr>
        <w:t xml:space="preserve">    </w:t>
      </w:r>
      <w:r>
        <w:rPr>
          <w:rFonts w:ascii="楷体" w:hAnsi="楷体" w:eastAsia="楷体" w:cs="楷体"/>
          <w:bCs/>
          <w:sz w:val="24"/>
        </w:rPr>
        <w:t>联系电话： 025-86115</w:t>
      </w:r>
      <w:r>
        <w:rPr>
          <w:rFonts w:hint="eastAsia" w:ascii="楷体" w:hAnsi="楷体" w:eastAsia="楷体" w:cs="楷体"/>
          <w:bCs/>
          <w:sz w:val="24"/>
        </w:rPr>
        <w:t>963</w:t>
      </w:r>
      <w:r>
        <w:rPr>
          <w:rFonts w:hint="eastAsia" w:ascii="楷体" w:hAnsi="楷体" w:eastAsia="楷体" w:cs="楷体"/>
          <w:bCs/>
          <w:sz w:val="24"/>
          <w:lang w:val="en-US" w:eastAsia="zh-CN"/>
        </w:rPr>
        <w:t>/18115195630</w:t>
      </w:r>
    </w:p>
    <w:bookmarkEnd w:id="1"/>
    <w:bookmarkEnd w:id="2"/>
    <w:bookmarkEnd w:id="3"/>
    <w:bookmarkEnd w:id="4"/>
    <w:bookmarkEnd w:id="5"/>
    <w:bookmarkEnd w:id="13"/>
    <w:bookmarkEnd w:id="14"/>
    <w:bookmarkEnd w:id="15"/>
    <w:p>
      <w:pPr>
        <w:snapToGrid w:val="0"/>
        <w:spacing w:line="360" w:lineRule="auto"/>
        <w:ind w:firstLine="480" w:firstLineChars="200"/>
        <w:rPr>
          <w:rFonts w:hint="eastAsia" w:ascii="楷体" w:hAnsi="楷体" w:eastAsia="楷体" w:cs="楷体"/>
          <w:bCs/>
          <w:sz w:val="24"/>
        </w:rPr>
      </w:pPr>
      <w:bookmarkStart w:id="21" w:name="_Toc18049"/>
      <w:bookmarkStart w:id="22" w:name="_Toc3756"/>
      <w:bookmarkStart w:id="23" w:name="_Toc14577347"/>
      <w:bookmarkStart w:id="24" w:name="_Toc513029209"/>
      <w:bookmarkStart w:id="25" w:name="_Toc61149549"/>
      <w:bookmarkStart w:id="26" w:name="_Toc324237147"/>
      <w:bookmarkStart w:id="27" w:name="_Toc20823314"/>
      <w:bookmarkStart w:id="28" w:name="_Toc16938558"/>
      <w:bookmarkStart w:id="29" w:name="_Toc513029242"/>
      <w:bookmarkStart w:id="30" w:name="_Toc479757207"/>
      <w:bookmarkStart w:id="31" w:name="_Toc120614221"/>
    </w:p>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p>
      <w:pPr>
        <w:rPr>
          <w:rFonts w:hint="eastAsia" w:ascii="楷体" w:hAnsi="楷体" w:eastAsia="楷体" w:cs="楷体"/>
          <w:sz w:val="40"/>
        </w:rPr>
      </w:pPr>
    </w:p>
    <w:p>
      <w:pPr>
        <w:pStyle w:val="11"/>
        <w:rPr>
          <w:rFonts w:hint="eastAsia"/>
        </w:rPr>
      </w:pPr>
    </w:p>
    <w:p>
      <w:pPr>
        <w:pStyle w:val="23"/>
        <w:spacing w:after="319"/>
        <w:rPr>
          <w:rFonts w:hint="eastAsia" w:ascii="楷体" w:hAnsi="楷体" w:eastAsia="楷体" w:cs="楷体"/>
          <w:sz w:val="40"/>
        </w:rPr>
      </w:pPr>
    </w:p>
    <w:p>
      <w:pPr>
        <w:pStyle w:val="3"/>
        <w:bidi w:val="0"/>
        <w:rPr>
          <w:rFonts w:hint="eastAsia"/>
        </w:rPr>
      </w:pPr>
      <w:bookmarkStart w:id="32" w:name="_Toc7825"/>
      <w:r>
        <w:rPr>
          <w:rFonts w:hint="eastAsia"/>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bookmarkEnd w:id="23"/>
    <w:bookmarkEnd w:id="24"/>
    <w:bookmarkEnd w:id="25"/>
    <w:p>
      <w:pPr>
        <w:pStyle w:val="4"/>
        <w:bidi w:val="0"/>
        <w:rPr>
          <w:rFonts w:hint="eastAsia" w:ascii="Arial" w:hAnsi="Arial"/>
          <w:b/>
          <w:lang w:val="zh-CN"/>
        </w:rPr>
      </w:pPr>
      <w:bookmarkStart w:id="33" w:name="_Toc29990"/>
      <w:bookmarkStart w:id="34" w:name="_Toc20823309"/>
      <w:bookmarkStart w:id="35" w:name="_Toc16938553"/>
      <w:bookmarkStart w:id="36" w:name="_Toc513029237"/>
      <w:bookmarkStart w:id="37" w:name="_Toc6739"/>
      <w:bookmarkStart w:id="38" w:name="_Toc16499"/>
      <w:r>
        <w:rPr>
          <w:rFonts w:hint="eastAsia" w:ascii="Arial" w:hAnsi="Arial"/>
          <w:b/>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
        <w:bidi w:val="0"/>
        <w:rPr>
          <w:rFonts w:hint="eastAsia" w:ascii="Arial" w:hAnsi="Arial"/>
          <w:b/>
          <w:lang w:val="zh-CN"/>
        </w:rPr>
      </w:pPr>
      <w:bookmarkStart w:id="41" w:name="_Toc3435"/>
      <w:r>
        <w:rPr>
          <w:rFonts w:hint="eastAsia" w:ascii="Arial" w:hAnsi="Arial"/>
          <w:b/>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
        <w:bidi w:val="0"/>
        <w:rPr>
          <w:rFonts w:hint="eastAsia" w:ascii="Arial" w:hAnsi="Arial"/>
          <w:b/>
          <w:lang w:val="zh-CN"/>
        </w:rPr>
      </w:pPr>
      <w:bookmarkStart w:id="42" w:name="_Toc22852"/>
      <w:bookmarkStart w:id="43" w:name="_Toc487210477"/>
      <w:r>
        <w:rPr>
          <w:rFonts w:hint="eastAsia" w:ascii="Arial" w:hAnsi="Arial"/>
          <w:b/>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
        <w:bidi w:val="0"/>
        <w:rPr>
          <w:rFonts w:hint="eastAsia" w:ascii="Arial" w:hAnsi="Arial"/>
          <w:b/>
          <w:lang w:val="zh-CN"/>
        </w:rPr>
      </w:pPr>
      <w:bookmarkStart w:id="44" w:name="_Toc15791"/>
      <w:r>
        <w:rPr>
          <w:rFonts w:hint="eastAsia" w:ascii="Arial" w:hAnsi="Arial"/>
          <w:b/>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
        <w:bidi w:val="0"/>
        <w:rPr>
          <w:rFonts w:hint="eastAsia" w:ascii="Arial" w:hAnsi="Arial"/>
          <w:b/>
          <w:lang w:val="zh-CN"/>
        </w:rPr>
      </w:pPr>
      <w:bookmarkStart w:id="50" w:name="_Toc487210483"/>
      <w:bookmarkStart w:id="51" w:name="_Toc26301"/>
      <w:r>
        <w:rPr>
          <w:rFonts w:hint="eastAsia" w:ascii="Arial" w:hAnsi="Arial"/>
          <w:b/>
        </w:rPr>
        <w:t>五</w:t>
      </w:r>
      <w:r>
        <w:rPr>
          <w:rFonts w:hint="eastAsia" w:ascii="Arial" w:hAnsi="Arial"/>
          <w:b/>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3"/>
        <w:bidi w:val="0"/>
      </w:pPr>
      <w:bookmarkStart w:id="52" w:name="_Toc324237148"/>
      <w:bookmarkStart w:id="53" w:name="_Toc32263"/>
      <w:bookmarkStart w:id="54" w:name="_Toc26554093"/>
      <w:bookmarkStart w:id="55" w:name="_Toc120614281"/>
      <w:bookmarkStart w:id="56" w:name="_Toc49090575"/>
      <w:bookmarkStart w:id="57" w:name="_Toc462564139"/>
      <w:bookmarkStart w:id="58" w:name="_Toc479757211"/>
      <w:r>
        <w:rPr>
          <w:rFonts w:hint="eastAsia"/>
        </w:rPr>
        <w:t xml:space="preserve"> </w:t>
      </w:r>
      <w:bookmarkStart w:id="59" w:name="_Toc7702"/>
      <w:r>
        <w:rPr>
          <w:rFonts w:hint="eastAsia"/>
          <w:lang w:val="en-US" w:eastAsia="zh-CN"/>
        </w:rPr>
        <w:t xml:space="preserve">第三章  </w:t>
      </w:r>
      <w:r>
        <w:rPr>
          <w:rFonts w:hint="eastAsia"/>
        </w:rPr>
        <w:t>项目需求</w:t>
      </w:r>
      <w:bookmarkEnd w:id="52"/>
      <w:bookmarkEnd w:id="53"/>
      <w:bookmarkEnd w:id="59"/>
      <w:bookmarkStart w:id="60" w:name="_Toc324237156"/>
      <w:bookmarkStart w:id="61" w:name="_Toc18960"/>
    </w:p>
    <w:p>
      <w:pPr>
        <w:pStyle w:val="4"/>
        <w:bidi w:val="0"/>
        <w:rPr>
          <w:rFonts w:hint="eastAsia"/>
          <w:lang w:val="zh-CN"/>
        </w:rPr>
      </w:pPr>
      <w:bookmarkStart w:id="62" w:name="_Toc48"/>
      <w:r>
        <w:rPr>
          <w:rFonts w:hint="eastAsia"/>
          <w:lang w:val="zh-CN"/>
        </w:rPr>
        <w:t>一、项目概况</w:t>
      </w:r>
      <w:bookmarkEnd w:id="62"/>
    </w:p>
    <w:p>
      <w:pPr>
        <w:snapToGrid w:val="0"/>
        <w:spacing w:line="360" w:lineRule="auto"/>
        <w:ind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南京交院职业技术学院全光网络施工改造工程，项目地址为位于</w:t>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"https://baike.sogou.com/lemma/ShowInnerLink.htm?lemmaId=53757&amp;ss_c=ssc.citiao.link"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"https://baike.sogou.com/lemma/ShowInnerLink.htm?lemmaId=634199&amp;ss_c=ssc.citiao.link"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江宁大学城</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龙眠大道629号，为学院2020年度工程项目实施计划，拟对全院进行全光网络施工，工程造价约1500万元。本招标</w:t>
      </w:r>
      <w:r>
        <w:rPr>
          <w:rFonts w:hint="eastAsia" w:ascii="楷体" w:hAnsi="楷体" w:eastAsia="楷体" w:cs="楷体"/>
          <w:bCs/>
          <w:kern w:val="2"/>
          <w:sz w:val="24"/>
          <w:szCs w:val="21"/>
          <w:lang w:val="en-US" w:eastAsia="zh-CN" w:bidi="ar-SA"/>
        </w:rPr>
        <w:t>是</w:t>
      </w:r>
      <w:r>
        <w:rPr>
          <w:rFonts w:hint="eastAsia" w:ascii="楷体" w:hAnsi="楷体" w:eastAsia="楷体" w:cs="楷体"/>
          <w:bCs/>
          <w:kern w:val="2"/>
          <w:sz w:val="24"/>
          <w:szCs w:val="21"/>
          <w:lang w:val="zh-CN" w:eastAsia="zh-CN" w:bidi="ar-SA"/>
        </w:rPr>
        <w:t>全院进行全光网络施工</w:t>
      </w:r>
      <w:r>
        <w:rPr>
          <w:rFonts w:hint="eastAsia" w:ascii="楷体" w:hAnsi="楷体" w:eastAsia="楷体" w:cs="楷体"/>
          <w:bCs/>
          <w:kern w:val="2"/>
          <w:sz w:val="24"/>
          <w:szCs w:val="21"/>
          <w:lang w:val="en-US" w:eastAsia="zh-CN" w:bidi="ar-SA"/>
        </w:rPr>
        <w:t>的</w:t>
      </w:r>
      <w:r>
        <w:rPr>
          <w:rFonts w:hint="eastAsia" w:ascii="楷体" w:hAnsi="楷体" w:eastAsia="楷体" w:cs="楷体"/>
          <w:bCs/>
          <w:kern w:val="2"/>
          <w:sz w:val="24"/>
          <w:szCs w:val="21"/>
          <w:lang w:val="zh-CN" w:eastAsia="zh-CN" w:bidi="ar-SA"/>
        </w:rPr>
        <w:t>网络建设监理项目，项目总预算</w:t>
      </w:r>
      <w:r>
        <w:rPr>
          <w:rFonts w:hint="eastAsia" w:ascii="楷体" w:hAnsi="楷体" w:eastAsia="楷体" w:cs="楷体"/>
          <w:bCs/>
          <w:kern w:val="2"/>
          <w:sz w:val="24"/>
          <w:szCs w:val="21"/>
          <w:lang w:val="en-US" w:eastAsia="zh-CN" w:bidi="ar-SA"/>
        </w:rPr>
        <w:t>18.5</w:t>
      </w:r>
      <w:r>
        <w:rPr>
          <w:rFonts w:hint="eastAsia" w:ascii="楷体" w:hAnsi="楷体" w:eastAsia="楷体" w:cs="楷体"/>
          <w:bCs/>
          <w:kern w:val="2"/>
          <w:sz w:val="24"/>
          <w:szCs w:val="21"/>
          <w:lang w:val="zh-CN" w:eastAsia="zh-CN" w:bidi="ar-SA"/>
        </w:rPr>
        <w:t>万元。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具体内容如下：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一</w:t>
      </w: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食堂、学生公寓区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高密AP和室外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光缆的建设采用中心机房-楼宇，一段式设计。校区生活区域共计16栋楼宇布放光缆，根据需求集中设立一个汇聚节点，汇聚节点新敷设144芯光缆到中心机房，汇聚节点敷设12芯光缆至楼栋。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2芯光缆至接入终端（食堂ONU/宿舍走廊ONU）。具体方案为：从图书馆5楼中心机房新放2条144芯光缆（物理双路由）覆盖学生公寓A南、A北、B南、B北、C南、C北、D南、D北、E南、E北、F南、F北、J南、J北、I，通过分支至每栋楼汇聚节点12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施工改造范围内所有线路需按院方要求做好标签标识，提供完整的工程建设资料，便于后期维护。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学生宿舍：从一楼弱电间新放2芯铠装光缆至每层弱电间分光器，采用1：8分光方式，每层走廊新设4个挂装信息箱，信息箱内放置8口ONU，电源线从楼层弱电间布放线槽至信息箱内，信息箱内增加5孔插座，每个宿舍房间新增1个放装式4口AP，从AP布放线槽走网线至室内4个网络信息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食堂用餐区：从弱电间新房2芯光缆，采用1：8分光方式，每个用餐区放置1个挂装信息箱，信息箱内放置8口ONU，电源线从楼层弱电间布放线槽至信息箱内，信息箱内增加5孔插座。每个用餐区放置4个放装式高密AP。</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（3）食堂办公区：从弱电间新放2芯光缆，采用1：8分光方式，房间内新增信息箱（门后离地1.5米），新增8口ONU及放装式AP，电源线从墙体插座布放线槽至信息箱内，信息箱内增加空气开关、插排。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（二）办公、教学区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和高密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光缆的建设采用中心机房-楼宇，一段式设计。校区办公区域共计10栋楼宇布放光缆，根据需求每栋楼集中设立一个汇聚节点，汇聚节点新敷设24芯光缆到中心机房。</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6芯光缆至接入终端（教室、办公室）。从图书馆5楼中心机房新放1条24芯光缆至行政楼3楼机房，新放1条24芯光缆至图书馆1楼机房，新放1条96芯光缆覆盖致远楼、明志楼、修远楼、广宇楼，通过分支至每栋楼汇聚节点24芯成端，新放1条96芯光缆覆盖宏博楼、齐贤楼、明德楼、体育馆，通过分支至每栋楼汇聚节点24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所有线路需按甲方要求做好标签标识，提供完整的工程建设资料，便于后期维护。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（1）教室：从弱电间新放4芯光缆，采用1：32分光方式，房间内新增信息箱（门后离地1.5米），新增8口ONU及放装式AP，电源线从墙体插座布放线槽至信息箱内，信息箱内增加空气开关、插排。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（2）办公室：从弱电间新放4芯光缆，采用1：32分光方式，房间内新增信息箱，（门后离地1.5米），新增4口ONU及放装式AP，电源线从墙体插座布放线槽至信息箱内，信息箱内增加空气开关、插排。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（3）会议室：从弱电间新放4芯光缆，采用1：32分光方式，房间内新增信息箱（门后离地1.5米），新增8口ONU及放装式AP，电源线从墙体插座布放线槽至信息箱内，信息箱内增加空气开关、插排。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（4）实验室及车间：从弱电间新放4芯光缆，采用1：32分光方式，房间内新增信息箱（门后离地1.5米），新增8口ONU及放装式AP，电源线从墙体插座布放线槽至信息箱内，信息箱内增加空气开关、插排。</w:t>
      </w:r>
    </w:p>
    <w:p>
      <w:pPr>
        <w:pStyle w:val="4"/>
        <w:bidi w:val="0"/>
        <w:rPr>
          <w:rFonts w:hint="eastAsia" w:ascii="Arial" w:hAnsi="Arial"/>
          <w:b/>
          <w:lang w:val="en-US" w:eastAsia="zh-CN"/>
        </w:rPr>
      </w:pPr>
      <w:bookmarkStart w:id="63" w:name="_Toc8806"/>
      <w:r>
        <w:rPr>
          <w:rFonts w:hint="eastAsia" w:ascii="Arial" w:hAnsi="Arial"/>
          <w:b/>
          <w:lang w:val="en-US" w:eastAsia="zh-CN"/>
        </w:rPr>
        <w:t>二、</w:t>
      </w:r>
      <w:r>
        <w:rPr>
          <w:rFonts w:hint="eastAsia" w:ascii="Arial" w:hAnsi="Arial"/>
          <w:b/>
          <w:lang w:val="zh-CN"/>
        </w:rPr>
        <w:t>供应商要求</w:t>
      </w:r>
      <w:bookmarkEnd w:id="63"/>
    </w:p>
    <w:p>
      <w:pPr>
        <w:widowControl w:val="0"/>
        <w:autoSpaceDE w:val="0"/>
        <w:autoSpaceDN w:val="0"/>
        <w:snapToGrid w:val="0"/>
        <w:spacing w:line="360" w:lineRule="auto"/>
        <w:ind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一</w:t>
      </w:r>
      <w:r>
        <w:rPr>
          <w:rFonts w:hint="eastAsia" w:ascii="楷体" w:hAnsi="楷体" w:eastAsia="楷体" w:cs="楷体"/>
          <w:b/>
          <w:bCs w:val="0"/>
          <w:kern w:val="2"/>
          <w:sz w:val="24"/>
          <w:szCs w:val="21"/>
          <w:lang w:val="zh-CN" w:eastAsia="zh-CN" w:bidi="ar-SA"/>
        </w:rPr>
        <w:t>）监理目标及周期</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在项目实施过程中，充分发挥业主的参谋助手作用，为业主提供专业的项目咨询监理服务，以保证项目的进度、质量、成本满足建设的要求，提高项目建设各方的满意度。本次采购监理服务周期为</w:t>
      </w:r>
      <w:r>
        <w:rPr>
          <w:rFonts w:hint="eastAsia" w:ascii="楷体" w:hAnsi="楷体" w:eastAsia="楷体" w:cs="楷体"/>
          <w:bCs/>
          <w:kern w:val="2"/>
          <w:sz w:val="24"/>
          <w:szCs w:val="21"/>
          <w:lang w:val="en-US" w:eastAsia="zh-CN" w:bidi="ar-SA"/>
        </w:rPr>
        <w:t>项目</w:t>
      </w:r>
      <w:r>
        <w:rPr>
          <w:rFonts w:hint="eastAsia" w:ascii="楷体" w:hAnsi="楷体" w:eastAsia="楷体" w:cs="楷体"/>
          <w:bCs/>
          <w:kern w:val="2"/>
          <w:sz w:val="24"/>
          <w:szCs w:val="21"/>
          <w:lang w:val="zh-CN" w:eastAsia="zh-CN" w:bidi="ar-SA"/>
        </w:rPr>
        <w:t>建设、试运行、验收全过程。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二</w:t>
      </w:r>
      <w:r>
        <w:rPr>
          <w:rFonts w:hint="eastAsia" w:ascii="楷体" w:hAnsi="楷体" w:eastAsia="楷体" w:cs="楷体"/>
          <w:b/>
          <w:bCs w:val="0"/>
          <w:kern w:val="2"/>
          <w:sz w:val="24"/>
          <w:szCs w:val="21"/>
          <w:lang w:val="zh-CN" w:eastAsia="zh-CN" w:bidi="ar-SA"/>
        </w:rPr>
        <w:t>）监理范围及工作内容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1、★监理范围</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须根据采购人的要求，从施工单位进场施工起至项目终验结束。监理单位根据项目施工过程中各工序节点的要求，开展监理工作，工作范围包括：项目施工阶段的咨询、方案的评审，施工过程中四控三管一协调监理及项目验收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2、项目施工阶段监理工作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A、召开项目监理交底会，下发项目管理制度，建设项目联系人制度；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B、督促承建单位提交项目实施组织设计书并审核；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C、审核和确认承建单位的开发计划、安装调试计划、测试计划方案；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D、签发项目开工令；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E、对项目进行合理阶段划分；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F、定期汇报项目监理情况；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G、检查各项目建设内容实施的环境准备情况；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H、对软、硬件设备等进行到货测试验收；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I、对设备安装调试进行现场监理；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J、对软件开发进行代码规范测查；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K、监督项目实施组织计划进度与实际进度的符合性，使计划进度与实际进度偏差最小化并提出合理化建议；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L、对项目实施过程中的变更进行审核；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M、审批承建单位项目延期申请；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N、处理项目实施过程中出现的质量等问题；</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O、审查项目培训计划、培训教材；</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P、配合建设单位负责承建单位之间的工作协调安排；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Q、组织技术问题专题研讨会；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R、项目文档的整理归集。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（2）工作成果：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A、项目管理制度；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B、项目工作联系表；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C、项目实施组织设计审批表；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D、开发计划、安装调试计划、测试计划审批表；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E、阶段划分建议书；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H、月报；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I、项目进展情况汇报；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J、项目实施准备检查记录单；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K、到货验收单；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L、设备安装调试现场记录单；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M、项目变更审批意见；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N、项目会商记录；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O、项目款项支付审核意见；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P、事故处理意见；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Q、培训计划审批表；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R、培训工作反馈意见表；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S、项目培训现场监督；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T、项目协调会议纪要；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U、技术专题会议纪要；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V、项目实施阶段文档汇编。</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（4）项目初验和试运行阶段咨询监理工作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A、审查承建单位初验申请及证明材料；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B、审查承建单位试运行保障计划；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C、编制项目初验方案；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E、组织初验文档检查工作；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F、协助聘请初验会议专家；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G、监督初验意见的整改工作；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H、签署初验报告；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I、签发试运行监理通知书；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J、试运行工作管理；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K、试运行阶段例会；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L、试运行情况总结；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M、跟踪试运行问题情况处理。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A、总体规划质量的控制：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a.所循规范与标准的审核和确认；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b.业务的市域特色的审核和确认；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c.组织总体规划方案的评审与验收。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B、系统集成质量的控制：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a.系统集成方案的审核和确认；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b.审核关键设备、系统软件选型方案，协助系统集成商和建设方进行选型；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c.对采购的硬件设备的质量进行检验、测试和验收；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d.对设备安装、系统软件的安装调试进行验收；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e.对系统集成进行整体验收。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C、人员培训的质量控制：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a.审核确认承建单位的培训计划；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b.监督承建单位实施其培训计划，并征求用户的反馈意见；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c.监督审查考核工作，评估培训效果；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d.审核确认承建单位的培训总结报告。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D、项目进度控制：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a.审核承建单位的进度分解计划，确认分解计划可以保证整体计划目标；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b.对项目实施进度进行实时跟踪，并要求承建单位对进度计划进行动态调整，以确保项目的阶段和总体进度目标的实现；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c.当工期目标偏离时，及时指出，并提出对策建议，同时督促承建单位尽快采取措施。</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（3）项目投资控制：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A、通过对项目实施中的方案及设计的优化，确保投资控制在合理、性价比高的范围内；</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B、协助建设单位做好项目支付预算的现金流量表，将付款进度与项目质量、工作进度结合起来。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（4）项目进度控制：按照项目制定工作计划，协调各方人员及时做好相关工作，确保项目推进进度。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（5）项目合同管理：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A、跟踪检查合同的执行情况，确保承建单位按时履约；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B、对合同工期的延误和延期进行审核确认；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C、对合同变更、索赔等事宜进行审核确认；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D、根据合同约定，审核承建单位提交的支付申请，签发付款凭证。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（6）信息管理／项目文档管理：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A、做好监理日记及项目大事记；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B、做好合同批复等各类往来文件的批复和存档；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C、做好项目协调会、技术专题会等各项会议纪要；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D、管理好实施期间的各类、各方技术文档；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E、做好项目周报；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F、做好监理建议书和监理通知书存档；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G、阶段性项目总结。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供应商按照要求及时进行信息归总及文档规整工作，并在规定时间内将移交资料提交给采购人，如不按此要求执行的，本合同自动延期至移交资料完整交接为止。</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（7）经项目承建方委托，负责协调本项目所涉及的各承建单位之间的工作关系，并协调解决项目建设过程中的各类纠纷。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（8）监理方应该通过必要的会议制度来实施协调工作，主要包括：</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A、现场会；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B、监理交底会；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C、周例会；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D、监理协调会；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E、专题讨论会；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F、专家论证会；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G、阶段工作总结会；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H、问题通报会；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I、阶段及最终验收会。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（9）咨询监理服务准则：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遵照《中华人民共和国标准化法》、《中华人民共和国标准化法实施条例》以及国家信息产业部《信息系统工程监理暂行规定》，以“守法、诚信、公正、科学”的准则执业，维护采购人与承建方的合法权益。具体应做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A、从客户战略出发、以客户需求为中心，参照ITSS对IT服务进行全面系统的规划设计，为IT服务的部署实施做好准备，以确保为最终客户提供满足其需求的服务；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B、执行有关项目建设的法律、法规、规范、标准和制度，履行监理合同规定的义务和职责；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C、不收受被监理单位的任何礼金；</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D、不泄露所监理项目各方认为需要保密的事项；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E、遵守国家的法律和政府的有关条例、规定和办法等；</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F、坚持公正的立场，独立、公正地处理有关各方的争议；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G、坚持科学的态度和实事求是的原则；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H、在坚持按监理合同的规定向建设单位提供技术服务的同时，帮助被监理者完成起担负的建设任务；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I、不泄漏所监理的项目需保密的事项。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（10）咨询监理服务遵照的依据：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A、ITSS信息技术服务标准；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B、国家信息产业部有关信息系统工程建设和监理管理规范；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C、采购人与项目承建单位签订的合同和协议；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D、采购人与中标供应商或成交供应商签订的监理合同；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E、国家有关技术规范和标准。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（11）按照采购人要求配合审计部门或第三方专业机构对采购人项目的审计工作，提供相关资料。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12）保密要求：所有参与监理项目的人员签订正式保密协议，并在工作中坚持保密原则，供应商严格规范执行各项保密制度，对在项目招标、建设、质保各阶段取得采购人各类信息进行保密管理，杜绝任何泄密事件的发生。</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三</w:t>
      </w:r>
      <w:r>
        <w:rPr>
          <w:rFonts w:hint="eastAsia" w:ascii="楷体" w:hAnsi="楷体" w:eastAsia="楷体" w:cs="楷体"/>
          <w:b/>
          <w:bCs w:val="0"/>
          <w:kern w:val="2"/>
          <w:sz w:val="24"/>
          <w:szCs w:val="21"/>
          <w:lang w:val="zh-CN" w:eastAsia="zh-CN" w:bidi="ar-SA"/>
        </w:rPr>
        <w:t>）监理工作要求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★①项目人员与组织机构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项目在实施过程中，监理单位要保证整个监理团队至少应包括总监理1名，监理员1名；人员姓名、身份证号、相关证书、工作经历、参与项目经验）等均需在响应文件中响应。</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②如应采购人需要，供应商还需组织安排相关专业领域的专家加入到管理工作中来。供应商应无条件同意采购人因工作需要提出的加班时间安排。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③合同签定之日起，供应商在响应文件中明确的监理人员（任何一个或全部）在收到采购人的请求后1小时内不能按要求上门提供服务的，采购人将按合同总额的千分之五/人次扣款。供应商须承诺无条件同意采购人的此项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④现场项目管理人员需确保固定，原则上不得变动，确因特殊情况需调整的，需提前1个月向采购人提出申请，在确保工作不受影响，所调换人员资质及工作水平不低于变动人员的前提下，经采购人同意方可做人员调整。未按以上要求发生的人员随意调整，采购人将按合同总额的千分之十/人次扣款。供应商提供项目工作人员如需休合理假期，需提前一周向采购人申请，在保证工作不受影响的前提下，经采购人同意后方可休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 5 \* GB3 \* MERGEFORMAT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⑤</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项目监理方案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在投标时提交初步监理方案，包含以下内容：明确监理内容和工作重点，在质量控制、进度控制、投资控制、合同与信息管理、安全与保密措施、现场组织协调、安全生产与文明施工等方面明确管理标准和流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四</w:t>
      </w:r>
      <w:r>
        <w:rPr>
          <w:rFonts w:hint="eastAsia" w:ascii="楷体" w:hAnsi="楷体" w:eastAsia="楷体" w:cs="楷体"/>
          <w:b/>
          <w:bCs w:val="0"/>
          <w:kern w:val="2"/>
          <w:sz w:val="24"/>
          <w:szCs w:val="21"/>
          <w:lang w:val="zh-CN" w:eastAsia="zh-CN" w:bidi="ar-SA"/>
        </w:rPr>
        <w:t>）其他要求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1</w:t>
      </w:r>
      <w:r>
        <w:rPr>
          <w:rFonts w:hint="eastAsia" w:ascii="楷体" w:hAnsi="楷体" w:eastAsia="楷体" w:cs="楷体"/>
          <w:bCs/>
          <w:kern w:val="2"/>
          <w:sz w:val="24"/>
          <w:szCs w:val="21"/>
          <w:lang w:val="zh-CN" w:eastAsia="zh-CN" w:bidi="ar-SA"/>
        </w:rPr>
        <w:t>、供应商应承诺响应文件中提供的投标人资格、资质证明文件不存在隐瞒、与实际情况不符等情况，采购人有权在投标人中标后对投标人相关资质、资格和能力进行考察验证，如果存在重大差异，有权取消或终止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2</w:t>
      </w:r>
      <w:r>
        <w:rPr>
          <w:rFonts w:hint="eastAsia" w:ascii="楷体" w:hAnsi="楷体" w:eastAsia="楷体" w:cs="楷体"/>
          <w:bCs/>
          <w:kern w:val="2"/>
          <w:sz w:val="24"/>
          <w:szCs w:val="21"/>
          <w:lang w:val="zh-CN" w:eastAsia="zh-CN" w:bidi="ar-SA"/>
        </w:rPr>
        <w:t>、供应商承诺已充分了解了本此招标的项目需求，对采购的服务做了充分的评估，能够满足本次项目建设的目标，采购人在本项目建设周期内将不再需要另外采购其他服务，否则需要在响应文件中进行说明。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3</w:t>
      </w:r>
      <w:r>
        <w:rPr>
          <w:rFonts w:hint="eastAsia" w:ascii="楷体" w:hAnsi="楷体" w:eastAsia="楷体" w:cs="楷体"/>
          <w:bCs/>
          <w:kern w:val="2"/>
          <w:sz w:val="24"/>
          <w:szCs w:val="21"/>
          <w:lang w:val="zh-CN" w:eastAsia="zh-CN" w:bidi="ar-SA"/>
        </w:rPr>
        <w:t>、供应商应承诺在项目完成时将项目的全部有关技术文件、资料及测试、验收报告等文档汇集成册交付采购人。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三、</w:t>
      </w:r>
      <w:r>
        <w:rPr>
          <w:rFonts w:hint="eastAsia" w:ascii="楷体" w:hAnsi="楷体" w:eastAsia="楷体" w:cs="楷体"/>
          <w:bCs/>
          <w:kern w:val="2"/>
          <w:sz w:val="24"/>
          <w:szCs w:val="21"/>
          <w:lang w:val="zh-CN" w:eastAsia="zh-CN" w:bidi="ar-SA"/>
        </w:rPr>
        <w:t>付款条件：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付款方式：监理合同签订后</w:t>
      </w:r>
      <w:r>
        <w:rPr>
          <w:rFonts w:hint="eastAsia" w:ascii="楷体" w:hAnsi="楷体" w:eastAsia="楷体" w:cs="楷体"/>
          <w:bCs/>
          <w:kern w:val="2"/>
          <w:sz w:val="24"/>
          <w:szCs w:val="21"/>
          <w:lang w:val="en-US" w:eastAsia="zh-CN" w:bidi="ar-SA"/>
        </w:rPr>
        <w:t>一个月</w:t>
      </w:r>
      <w:r>
        <w:rPr>
          <w:rFonts w:hint="eastAsia" w:ascii="楷体" w:hAnsi="楷体" w:eastAsia="楷体" w:cs="楷体"/>
          <w:bCs/>
          <w:kern w:val="2"/>
          <w:sz w:val="24"/>
          <w:szCs w:val="21"/>
          <w:lang w:val="zh-CN" w:eastAsia="zh-CN" w:bidi="ar-SA"/>
        </w:rPr>
        <w:t>日内采购人付成交供应商合同总金额的40%，</w:t>
      </w:r>
      <w:r>
        <w:rPr>
          <w:rFonts w:hint="eastAsia" w:ascii="楷体" w:hAnsi="楷体" w:eastAsia="楷体" w:cs="楷体"/>
          <w:bCs/>
          <w:kern w:val="2"/>
          <w:sz w:val="24"/>
          <w:szCs w:val="21"/>
          <w:lang w:val="en-US" w:eastAsia="zh-CN" w:bidi="ar-SA"/>
        </w:rPr>
        <w:t>项目完成初验后七个工作日内支付合同总金额的30%，</w:t>
      </w:r>
      <w:r>
        <w:rPr>
          <w:rFonts w:hint="eastAsia" w:ascii="楷体" w:hAnsi="楷体" w:eastAsia="楷体" w:cs="楷体"/>
          <w:bCs/>
          <w:kern w:val="2"/>
          <w:sz w:val="24"/>
          <w:szCs w:val="21"/>
          <w:lang w:val="zh-CN" w:eastAsia="zh-CN" w:bidi="ar-SA"/>
        </w:rPr>
        <w:t>项目终验合格后七个工作日内</w:t>
      </w:r>
      <w:r>
        <w:rPr>
          <w:rFonts w:hint="eastAsia" w:ascii="楷体" w:hAnsi="楷体" w:eastAsia="楷体" w:cs="楷体"/>
          <w:bCs/>
          <w:kern w:val="2"/>
          <w:sz w:val="24"/>
          <w:szCs w:val="21"/>
          <w:lang w:val="en-US" w:eastAsia="zh-CN" w:bidi="ar-SA"/>
        </w:rPr>
        <w:t>支付合同总金额的30%</w:t>
      </w:r>
      <w:r>
        <w:rPr>
          <w:rFonts w:hint="eastAsia" w:ascii="楷体" w:hAnsi="楷体" w:eastAsia="楷体" w:cs="楷体"/>
          <w:bCs/>
          <w:kern w:val="2"/>
          <w:sz w:val="24"/>
          <w:szCs w:val="21"/>
          <w:lang w:val="zh-CN" w:eastAsia="zh-CN" w:bidi="ar-SA"/>
        </w:rPr>
        <w:t>。</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备注：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本章有带星号（“★”）的内容及商务部分要求均为实质性要求，不允许负偏离，否则作为无效报价。采购文件中要求的产品品牌或型号，是采购人根据项目所要实现的功能及考量后推荐的品牌或型号，投标人可以采用其他品牌的产品进行投标，但是，所有功能必须能满足采购项目整体性能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pStyle w:val="2"/>
        <w:ind w:left="1260"/>
        <w:rPr>
          <w:rFonts w:hint="eastAsia" w:ascii="楷体" w:hAnsi="楷体" w:eastAsia="楷体" w:cs="楷体"/>
          <w:kern w:val="0"/>
          <w:sz w:val="24"/>
        </w:rPr>
      </w:pPr>
    </w:p>
    <w:p>
      <w:pPr>
        <w:rPr>
          <w:rFonts w:hint="eastAsia"/>
        </w:rPr>
      </w:pPr>
    </w:p>
    <w:p>
      <w:pPr>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bookmarkEnd w:id="60"/>
    <w:bookmarkEnd w:id="61"/>
    <w:p>
      <w:pPr>
        <w:pStyle w:val="3"/>
        <w:bidi w:val="0"/>
        <w:rPr>
          <w:rFonts w:hint="eastAsia"/>
        </w:rPr>
      </w:pPr>
      <w:bookmarkStart w:id="64" w:name="_Toc32611"/>
      <w:bookmarkStart w:id="65" w:name="_Toc24347"/>
      <w:bookmarkStart w:id="66" w:name="_Toc8457"/>
      <w:bookmarkStart w:id="67" w:name="_Toc324237157"/>
      <w:bookmarkStart w:id="68" w:name="_Toc273"/>
      <w:r>
        <w:rPr>
          <w:rFonts w:hint="eastAsia"/>
        </w:rPr>
        <w:t>第四章  评审方法和评审标准</w:t>
      </w:r>
      <w:bookmarkEnd w:id="64"/>
    </w:p>
    <w:p>
      <w:pPr>
        <w:pStyle w:val="4"/>
        <w:bidi w:val="0"/>
        <w:rPr>
          <w:rFonts w:hint="eastAsia" w:ascii="Arial" w:hAnsi="Arial"/>
          <w:b/>
        </w:rPr>
      </w:pPr>
      <w:bookmarkStart w:id="69" w:name="_Toc1535"/>
      <w:r>
        <w:rPr>
          <w:rFonts w:hint="eastAsia" w:ascii="Arial" w:hAnsi="Arial"/>
          <w:b/>
        </w:rPr>
        <w:t>一、评标方法与定标原则</w:t>
      </w:r>
      <w:bookmarkEnd w:id="65"/>
      <w:bookmarkEnd w:id="69"/>
    </w:p>
    <w:p>
      <w:pPr>
        <w:pStyle w:val="5"/>
        <w:spacing w:line="360" w:lineRule="auto"/>
        <w:ind w:firstLine="480" w:firstLineChars="20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w:t>
      </w:r>
      <w:r>
        <w:rPr>
          <w:rFonts w:hint="eastAsia" w:ascii="楷体" w:hAnsi="楷体" w:eastAsia="楷体" w:cs="楷体"/>
          <w:kern w:val="0"/>
          <w:sz w:val="24"/>
          <w:szCs w:val="21"/>
          <w:lang w:val="en-US" w:eastAsia="zh-CN" w:bidi="ar-SA"/>
        </w:rPr>
        <w:t>序排列，每个分包由评标委员会推荐1个成交候选人。具体打分办法如下：</w:t>
      </w:r>
    </w:p>
    <w:p>
      <w:pPr>
        <w:pStyle w:val="4"/>
        <w:bidi w:val="0"/>
        <w:rPr>
          <w:rFonts w:hint="eastAsia" w:ascii="Arial" w:hAnsi="Arial"/>
          <w:b/>
          <w:lang w:val="en-US" w:eastAsia="zh-CN"/>
        </w:rPr>
      </w:pPr>
      <w:bookmarkStart w:id="70" w:name="_Toc8228"/>
      <w:r>
        <w:rPr>
          <w:rFonts w:hint="eastAsia" w:ascii="Arial" w:hAnsi="Arial"/>
          <w:b/>
          <w:lang w:val="en-US" w:eastAsia="zh-CN"/>
        </w:rPr>
        <w:t>二、</w:t>
      </w:r>
      <w:r>
        <w:rPr>
          <w:rFonts w:hint="eastAsia" w:ascii="Arial" w:hAnsi="Arial"/>
          <w:b/>
        </w:rPr>
        <w:t>成交标准</w:t>
      </w:r>
      <w:bookmarkEnd w:id="70"/>
    </w:p>
    <w:tbl>
      <w:tblPr>
        <w:tblStyle w:val="12"/>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124"/>
        <w:gridCol w:w="445"/>
        <w:gridCol w:w="5673"/>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blHeader/>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default" w:ascii="楷体" w:hAnsi="楷体" w:eastAsia="楷体" w:cs="楷体"/>
                <w:kern w:val="0"/>
                <w:sz w:val="22"/>
                <w:szCs w:val="20"/>
                <w:lang w:val="en-US" w:eastAsia="zh-CN" w:bidi="ar-SA"/>
              </w:rPr>
            </w:pPr>
            <w:bookmarkStart w:id="71" w:name="_Toc25132"/>
            <w:bookmarkStart w:id="72" w:name="_Toc26593"/>
            <w:bookmarkStart w:id="73" w:name="_Toc27008"/>
            <w:bookmarkStart w:id="74" w:name="_Toc31574"/>
            <w:r>
              <w:rPr>
                <w:rFonts w:hint="eastAsia" w:ascii="楷体" w:hAnsi="楷体" w:eastAsia="楷体" w:cs="楷体"/>
                <w:kern w:val="0"/>
                <w:sz w:val="22"/>
                <w:szCs w:val="20"/>
                <w:lang w:val="en-US" w:eastAsia="zh-CN" w:bidi="ar-SA"/>
              </w:rPr>
              <w:t>序号</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评分</w:t>
            </w:r>
          </w:p>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因素</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评审标准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价格</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采用低价优先法计算，即满足采购文件要求且投标价格最低的投标报价为评标基准价，其价格分为满分。其他供应商的价格分统一按照下列公式计算：</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投标报价得分=(评标基准价/投标报价)×20（小数点保留两位）。</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技术</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（36分）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监理大纲</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方案内容完整、重点突出、目标明确、符合规范得8分 ；</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方案内容较为完整，基本符合规范、目标基本清晰得5分；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方案内容基本完整，目标不够清晰、重点不够突出得2分；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b/>
                <w:bCs/>
                <w:kern w:val="0"/>
                <w:sz w:val="24"/>
                <w:szCs w:val="21"/>
                <w:lang w:val="en-US" w:eastAsia="zh-CN" w:bidi="ar-SA"/>
              </w:rPr>
            </w:pPr>
            <w:r>
              <w:rPr>
                <w:rFonts w:hint="eastAsia" w:ascii="楷体" w:hAnsi="楷体" w:eastAsia="楷体" w:cs="楷体"/>
                <w:b/>
                <w:bCs/>
                <w:kern w:val="0"/>
                <w:sz w:val="24"/>
                <w:szCs w:val="21"/>
                <w:lang w:val="en-US" w:eastAsia="zh-CN" w:bidi="ar-SA"/>
              </w:rPr>
              <w:t>监理方案：</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方案科学合理、组织有序、严格按照信息化项目监理要求进行组织实施得7分；方案较为科学合理、组织流程较为有序得5分；方案欠缺合理性、组织流程基本有序得3分；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2.3</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重点难点解决方案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方案完整严谨、分析合理、解决措施得当、符合目前的各类系统的实际情况得7分；方案基本完整严谨 、分析基本合理、解决措施基本得当得3分；其他不得分。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2.4</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安全文明、保密监管方案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方案完善严谨、安全方案保障合理、保密监管科学有效得7分；方案较完善、安全保密保障较合理，保密监管科学较有效得3分；其他不得分。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2.5</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技术保障方案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方案科学合理、组织有序、可根据本次信息化项目特点提供可行性建议得7分；方案较科学严谨、合理化建议分析较详细得3分；其他不得分。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业绩</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（9分）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2017年1月1日以来，供应商具有类似工程项目的监理案例，每个得3分,此项最多得9分。</w:t>
            </w:r>
          </w:p>
          <w:p>
            <w:pPr>
              <w:keepNext w:val="0"/>
              <w:keepLines w:val="0"/>
              <w:pageBreakBefore w:val="0"/>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（提供合同复印件加盖公章，合同须能反映项目名称，签订时间和签章清晰可见）</w:t>
            </w:r>
          </w:p>
        </w:tc>
        <w:tc>
          <w:tcPr>
            <w:tcW w:w="512" w:type="dxa"/>
            <w:tcBorders>
              <w:tl2br w:val="nil"/>
              <w:tr2bl w:val="nil"/>
            </w:tcBorders>
            <w:shd w:val="clear" w:color="auto" w:fill="auto"/>
            <w:vAlign w:val="center"/>
          </w:tcPr>
          <w:p>
            <w:pPr>
              <w:keepNext w:val="0"/>
              <w:keepLines w:val="0"/>
              <w:pageBreakBefore w:val="0"/>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供应商履约</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能力</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（28分）</w:t>
            </w: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供应商技术能力</w:t>
            </w:r>
          </w:p>
        </w:tc>
        <w:tc>
          <w:tcPr>
            <w:tcW w:w="5673" w:type="dxa"/>
            <w:tcBorders>
              <w:tl2br w:val="nil"/>
              <w:tr2bl w:val="nil"/>
            </w:tcBorders>
            <w:shd w:val="clear" w:color="auto" w:fill="auto"/>
            <w:vAlign w:val="center"/>
          </w:tcPr>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供应商具有有效期内的ISO19001质量管理体系认证，得2分；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供应商具有有效期内的ISO14001环境管理体系认证，得2分；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供应商具有有效期内的OHSAS18001职业健康安全管理体系认证，得2分；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供应商具有有效期内的ISO27001信息安全体系认证，得2分；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供应商具有有效期内的ISO20000信息技术服务管理体系认证，得2分；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（以上证书认证范围须包括信息系统工程监理服务、信息系统工程咨询服务、信息系统工程测试服务，提供上述证书复印件加盖公章，未提供不得分）。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项目团队人员要求</w:t>
            </w:r>
          </w:p>
        </w:tc>
        <w:tc>
          <w:tcPr>
            <w:tcW w:w="5673"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承诺投标文件中参与项目的总监理工程师和监理人员不得更换并且驻场</w:t>
            </w:r>
            <w:r>
              <w:rPr>
                <w:rFonts w:hint="eastAsia" w:ascii="楷体" w:hAnsi="楷体" w:eastAsia="楷体" w:cs="楷体"/>
                <w:kern w:val="0"/>
                <w:sz w:val="24"/>
                <w:szCs w:val="21"/>
                <w:lang w:val="en-US" w:eastAsia="zh-CN" w:bidi="ar-SA"/>
              </w:rPr>
              <w:t>。</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1）总监理工程师要求（12分）：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在具有计算机技术与软件专业技术资格考试取得的信息系统监理师证书和高级信息系统项目管理师证书基础上同时具有网络工程师证书得2分，具有信息安全师证书得2分，具有项目数据分析师证书得2分，具有数据库应用系统工程师证书得2分，具有网络设备调试员证书得2分,具有通信工程师高级证书得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2）监理人员专业配套及资质（10分）：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供应商服务本项目人员在具有计算机技术与软件专业技术资格考试取得的信息系统监理师证书的人员基础上具有：</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通信工程师高级证书/软件测试工程师证书/机房规划设计工程师证书/系统规划和管理师证书/网络安全与数据恢复证书，有一个得2分，最高10分。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color w:val="000000"/>
                <w:sz w:val="21"/>
                <w:szCs w:val="21"/>
              </w:rPr>
              <w:t>2</w:t>
            </w:r>
            <w:r>
              <w:rPr>
                <w:rFonts w:hint="eastAsia"/>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5</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响应文件制作（3分）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根据供应商响应文件编制情况进行评分，文件编制条理清晰，页码完整，整洁美观得3分；文件编制条理一般，页码部分缺漏，基本整洁美观得1分；文件编制条理混乱，无页码，目录标注不一致、不清晰得0分。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sz w:val="21"/>
                <w:szCs w:val="21"/>
              </w:rPr>
            </w:pPr>
            <w:r>
              <w:rPr>
                <w:sz w:val="21"/>
                <w:szCs w:val="21"/>
              </w:rPr>
              <w:t>3</w:t>
            </w:r>
          </w:p>
        </w:tc>
      </w:tr>
      <w:bookmarkEnd w:id="71"/>
      <w:bookmarkEnd w:id="72"/>
      <w:bookmarkEnd w:id="73"/>
      <w:bookmarkEnd w:id="74"/>
    </w:tbl>
    <w:p>
      <w:pPr>
        <w:snapToGrid w:val="0"/>
        <w:jc w:val="left"/>
        <w:rPr>
          <w:rFonts w:hint="eastAsia" w:ascii="楷体" w:hAnsi="楷体" w:eastAsia="楷体" w:cs="楷体"/>
          <w:bCs/>
          <w:sz w:val="24"/>
        </w:rPr>
      </w:pPr>
    </w:p>
    <w:p>
      <w:pPr>
        <w:pStyle w:val="3"/>
        <w:bidi w:val="0"/>
      </w:pPr>
      <w:bookmarkStart w:id="75" w:name="_Toc29622"/>
      <w:r>
        <w:rPr>
          <w:rFonts w:hint="eastAsia"/>
        </w:rPr>
        <w:t>第五章  磋商响应文件格式</w:t>
      </w:r>
      <w:bookmarkEnd w:id="75"/>
    </w:p>
    <w:bookmarkEnd w:id="54"/>
    <w:bookmarkEnd w:id="55"/>
    <w:bookmarkEnd w:id="56"/>
    <w:bookmarkEnd w:id="66"/>
    <w:bookmarkEnd w:id="67"/>
    <w:bookmarkEnd w:id="68"/>
    <w:p>
      <w:pPr>
        <w:jc w:val="center"/>
        <w:rPr>
          <w:rFonts w:ascii="楷体" w:hAnsi="楷体" w:eastAsia="楷体" w:cs="楷体"/>
          <w:b/>
          <w:bCs/>
          <w:sz w:val="96"/>
          <w:szCs w:val="96"/>
        </w:rPr>
      </w:pPr>
      <w:bookmarkStart w:id="76" w:name="_Toc120614282"/>
      <w:bookmarkStart w:id="77" w:name="_Toc49090576"/>
      <w:bookmarkStart w:id="78" w:name="_Toc26554094"/>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spacing w:after="156" w:afterLines="50" w:line="640" w:lineRule="exact"/>
        <w:ind w:left="838" w:leftChars="399" w:firstLine="0" w:firstLineChars="0"/>
        <w:jc w:val="both"/>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学校网络</w:t>
      </w:r>
    </w:p>
    <w:p>
      <w:pPr>
        <w:spacing w:after="156" w:afterLines="50" w:line="640" w:lineRule="exact"/>
        <w:ind w:left="838" w:leftChars="399" w:firstLine="1606" w:firstLineChars="500"/>
        <w:jc w:val="both"/>
        <w:rPr>
          <w:rFonts w:hint="eastAsia" w:ascii="楷体" w:hAnsi="楷体" w:eastAsia="楷体" w:cs="楷体"/>
          <w:b/>
          <w:bCs/>
          <w:sz w:val="32"/>
          <w:szCs w:val="36"/>
        </w:rPr>
      </w:pPr>
      <w:r>
        <w:rPr>
          <w:rFonts w:hint="eastAsia" w:ascii="楷体" w:hAnsi="楷体" w:eastAsia="楷体" w:cs="楷体"/>
          <w:b/>
          <w:bCs/>
          <w:sz w:val="32"/>
          <w:szCs w:val="36"/>
          <w:lang w:eastAsia="zh-CN"/>
        </w:rPr>
        <w:t>建设监理</w:t>
      </w:r>
      <w:r>
        <w:rPr>
          <w:rFonts w:hint="eastAsia" w:ascii="楷体" w:hAnsi="楷体" w:eastAsia="楷体" w:cs="楷体"/>
          <w:b/>
          <w:bCs/>
          <w:sz w:val="32"/>
          <w:szCs w:val="36"/>
        </w:rPr>
        <w:t>项目</w:t>
      </w:r>
    </w:p>
    <w:p>
      <w:pPr>
        <w:ind w:left="2434" w:leftChars="1159" w:firstLine="321" w:firstLineChars="100"/>
        <w:rPr>
          <w:rFonts w:ascii="楷体" w:hAnsi="楷体" w:eastAsia="楷体" w:cs="楷体"/>
          <w:b/>
          <w:bCs/>
          <w:sz w:val="32"/>
          <w:szCs w:val="36"/>
        </w:rPr>
      </w:pPr>
    </w:p>
    <w:p>
      <w:pPr>
        <w:ind w:left="2444" w:leftChars="399" w:hanging="1606" w:hangingChars="5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项目编号：JY2020</w:t>
      </w:r>
      <w:r>
        <w:rPr>
          <w:rFonts w:hint="eastAsia" w:ascii="楷体" w:hAnsi="楷体" w:eastAsia="楷体" w:cs="楷体"/>
          <w:b/>
          <w:bCs/>
          <w:sz w:val="32"/>
          <w:szCs w:val="36"/>
          <w:lang w:val="en-US" w:eastAsia="zh-CN"/>
        </w:rPr>
        <w:t>0XX</w:t>
      </w:r>
    </w:p>
    <w:p>
      <w:pPr>
        <w:rPr>
          <w:rFonts w:ascii="楷体" w:hAnsi="楷体" w:eastAsia="楷体" w:cs="楷体"/>
          <w:b/>
          <w:bCs/>
          <w:sz w:val="32"/>
          <w:szCs w:val="36"/>
        </w:rPr>
      </w:pPr>
    </w:p>
    <w:p>
      <w:pPr>
        <w:pStyle w:val="11"/>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9" w:name="_Toc449017027"/>
    </w:p>
    <w:bookmarkEnd w:id="57"/>
    <w:bookmarkEnd w:id="58"/>
    <w:bookmarkEnd w:id="76"/>
    <w:bookmarkEnd w:id="77"/>
    <w:bookmarkEnd w:id="78"/>
    <w:bookmarkEnd w:id="79"/>
    <w:p>
      <w:pPr>
        <w:pStyle w:val="4"/>
        <w:bidi w:val="0"/>
        <w:jc w:val="center"/>
      </w:pPr>
      <w:bookmarkStart w:id="80" w:name="_Toc14521"/>
      <w:bookmarkStart w:id="81" w:name="_Toc25957"/>
      <w:bookmarkStart w:id="82" w:name="_Toc20268"/>
      <w:bookmarkStart w:id="83" w:name="_Toc13734"/>
      <w:r>
        <w:rPr>
          <w:rFonts w:hint="eastAsia"/>
        </w:rPr>
        <w:t>一、磋商函</w:t>
      </w:r>
      <w:bookmarkEnd w:id="80"/>
      <w:bookmarkEnd w:id="81"/>
      <w:bookmarkEnd w:id="82"/>
      <w:bookmarkEnd w:id="83"/>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（采购编号为：</w:t>
      </w:r>
      <w:r>
        <w:rPr>
          <w:rFonts w:hint="eastAsia" w:ascii="楷体" w:hAnsi="楷体" w:eastAsia="楷体" w:cs="楷体"/>
          <w:sz w:val="24"/>
          <w:szCs w:val="24"/>
          <w:lang w:eastAsia="zh-CN"/>
        </w:rPr>
        <w:t>JY20200XX</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日期：                  </w:t>
      </w:r>
      <w:bookmarkStart w:id="84" w:name="_Toc2237"/>
      <w:bookmarkStart w:id="85" w:name="_Toc27417"/>
    </w:p>
    <w:bookmarkEnd w:id="84"/>
    <w:bookmarkEnd w:id="85"/>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2"/>
      </w:pPr>
    </w:p>
    <w:p>
      <w:pPr>
        <w:pStyle w:val="4"/>
        <w:bidi w:val="0"/>
        <w:jc w:val="center"/>
        <w:rPr>
          <w:rFonts w:hint="eastAsia" w:ascii="Arial" w:hAnsi="Arial"/>
          <w:b/>
        </w:rPr>
      </w:pPr>
      <w:bookmarkStart w:id="86" w:name="_Toc17846"/>
      <w:bookmarkStart w:id="87" w:name="_Toc4264"/>
      <w:r>
        <w:rPr>
          <w:rFonts w:hint="eastAsia" w:ascii="Arial" w:hAnsi="Arial"/>
          <w:b/>
        </w:rPr>
        <w:t>二、报价表</w:t>
      </w:r>
      <w:bookmarkEnd w:id="86"/>
      <w:bookmarkEnd w:id="87"/>
    </w:p>
    <w:p>
      <w:pPr>
        <w:pStyle w:val="11"/>
        <w:ind w:firstLine="210"/>
      </w:pPr>
    </w:p>
    <w:tbl>
      <w:tblPr>
        <w:tblStyle w:val="12"/>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8"/>
        <w:gridCol w:w="5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339" w:type="dxa"/>
            <w:noWrap w:val="0"/>
            <w:vAlign w:val="center"/>
          </w:tcPr>
          <w:p>
            <w:pPr>
              <w:adjustRightInd w:val="0"/>
              <w:snapToGrid w:val="0"/>
              <w:jc w:val="left"/>
              <w:rPr>
                <w:rFonts w:ascii="楷体" w:hAnsi="楷体" w:eastAsia="楷体" w:cs="楷体"/>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339"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3078"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339"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总报价小写：</w:t>
            </w:r>
            <w:r>
              <w:rPr>
                <w:rFonts w:hint="eastAsia" w:ascii="楷体" w:hAnsi="楷体" w:eastAsia="楷体" w:cs="楷体"/>
                <w:sz w:val="24"/>
                <w:szCs w:val="24"/>
                <w:u w:val="single"/>
              </w:rPr>
              <w:t>　　        　 </w:t>
            </w:r>
            <w:r>
              <w:rPr>
                <w:rFonts w:hint="eastAsia" w:ascii="楷体" w:hAnsi="楷体" w:eastAsia="楷体" w:cs="楷体"/>
                <w:sz w:val="24"/>
                <w:szCs w:val="24"/>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8" w:name="_Toc6890"/>
      <w:bookmarkStart w:id="89" w:name="_Toc818"/>
      <w:bookmarkStart w:id="90" w:name="_Toc12366"/>
      <w:bookmarkStart w:id="91"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2"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2"/>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24"/>
        <w:numPr>
          <w:ilvl w:val="0"/>
          <w:numId w:val="0"/>
        </w:numPr>
        <w:jc w:val="center"/>
        <w:outlineLvl w:val="9"/>
        <w:rPr>
          <w:rFonts w:hint="eastAsia" w:ascii="楷体" w:hAnsi="楷体" w:eastAsia="楷体" w:cs="楷体"/>
        </w:rPr>
      </w:pPr>
    </w:p>
    <w:bookmarkEnd w:id="88"/>
    <w:p>
      <w:pPr>
        <w:pStyle w:val="4"/>
        <w:bidi w:val="0"/>
        <w:jc w:val="center"/>
        <w:rPr>
          <w:rFonts w:hint="eastAsia" w:ascii="Arial" w:hAnsi="Arial"/>
          <w:b/>
        </w:rPr>
      </w:pPr>
      <w:bookmarkStart w:id="93" w:name="_Toc8031"/>
      <w:bookmarkStart w:id="94" w:name="_Toc32133"/>
      <w:bookmarkStart w:id="95" w:name="_Toc25862"/>
      <w:bookmarkStart w:id="96" w:name="_Toc1752"/>
      <w:bookmarkStart w:id="97" w:name="_Toc16074"/>
      <w:bookmarkStart w:id="98" w:name="_Toc365968485"/>
      <w:bookmarkStart w:id="99" w:name="_Toc351733250"/>
      <w:bookmarkStart w:id="100" w:name="_Toc448482858"/>
      <w:r>
        <w:rPr>
          <w:rFonts w:hint="eastAsia" w:ascii="Arial" w:hAnsi="Arial"/>
          <w:b/>
        </w:rPr>
        <w:t>三、服务要求响应表</w:t>
      </w:r>
      <w:bookmarkEnd w:id="93"/>
      <w:bookmarkEnd w:id="94"/>
      <w:bookmarkEnd w:id="95"/>
      <w:bookmarkEnd w:id="96"/>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
        <w:bidi w:val="0"/>
        <w:jc w:val="center"/>
        <w:rPr>
          <w:rFonts w:hint="eastAsia" w:ascii="Arial" w:hAnsi="Arial"/>
          <w:b/>
        </w:rPr>
      </w:pPr>
      <w:bookmarkStart w:id="101" w:name="_Toc25918"/>
      <w:bookmarkStart w:id="102" w:name="_Toc27516"/>
      <w:r>
        <w:rPr>
          <w:rFonts w:hint="eastAsia" w:ascii="Arial" w:hAnsi="Arial"/>
          <w:b/>
        </w:rPr>
        <w:t>四、服务方案</w:t>
      </w:r>
      <w:bookmarkEnd w:id="101"/>
      <w:bookmarkEnd w:id="102"/>
    </w:p>
    <w:p>
      <w:pPr>
        <w:jc w:val="center"/>
        <w:rPr>
          <w:rFonts w:hint="eastAsia" w:ascii="楷体" w:hAnsi="楷体" w:eastAsia="楷体" w:cs="楷体"/>
          <w:b/>
          <w:sz w:val="24"/>
        </w:rPr>
      </w:pPr>
      <w:r>
        <w:rPr>
          <w:rFonts w:hint="eastAsia" w:ascii="楷体" w:hAnsi="楷体" w:eastAsia="楷体" w:cs="楷体"/>
          <w:b/>
          <w:sz w:val="24"/>
        </w:rPr>
        <w:t>（格式自定）</w:t>
      </w:r>
    </w:p>
    <w:bookmarkEnd w:id="97"/>
    <w:bookmarkEnd w:id="98"/>
    <w:bookmarkEnd w:id="99"/>
    <w:bookmarkEnd w:id="100"/>
    <w:p>
      <w:pPr>
        <w:pStyle w:val="24"/>
        <w:numPr>
          <w:ilvl w:val="0"/>
          <w:numId w:val="0"/>
        </w:numPr>
        <w:jc w:val="center"/>
        <w:rPr>
          <w:rFonts w:hint="eastAsia" w:ascii="楷体" w:hAnsi="楷体" w:eastAsia="楷体" w:cs="楷体"/>
        </w:rPr>
      </w:pPr>
      <w:bookmarkStart w:id="103" w:name="_Toc25230"/>
      <w:bookmarkStart w:id="104" w:name="_Toc32325"/>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bookmarkEnd w:id="103"/>
    <w:bookmarkEnd w:id="104"/>
    <w:p>
      <w:pPr>
        <w:pStyle w:val="4"/>
        <w:bidi w:val="0"/>
        <w:jc w:val="center"/>
        <w:rPr>
          <w:rFonts w:hint="eastAsia" w:ascii="Arial" w:hAnsi="Arial"/>
          <w:b/>
        </w:rPr>
      </w:pPr>
      <w:bookmarkStart w:id="105" w:name="_Toc5890"/>
      <w:bookmarkStart w:id="106" w:name="_Toc25699"/>
      <w:bookmarkStart w:id="107" w:name="_Toc26771"/>
      <w:bookmarkStart w:id="108" w:name="_Toc21836"/>
      <w:r>
        <w:rPr>
          <w:rFonts w:hint="eastAsia" w:ascii="Arial" w:hAnsi="Arial"/>
          <w:b/>
        </w:rPr>
        <w:t>五、企业资质</w:t>
      </w:r>
      <w:bookmarkEnd w:id="105"/>
      <w:bookmarkEnd w:id="106"/>
      <w:bookmarkEnd w:id="107"/>
      <w:bookmarkEnd w:id="108"/>
    </w:p>
    <w:p>
      <w:pPr>
        <w:jc w:val="center"/>
        <w:rPr>
          <w:rFonts w:ascii="仿宋" w:hAnsi="仿宋" w:eastAsia="仿宋" w:cs="宋体"/>
          <w:b/>
          <w:color w:val="000000"/>
          <w:kern w:val="0"/>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rPr>
          <w:rFonts w:hint="eastAsia"/>
        </w:rPr>
      </w:pPr>
    </w:p>
    <w:p>
      <w:pPr>
        <w:pStyle w:val="24"/>
        <w:numPr>
          <w:ilvl w:val="0"/>
          <w:numId w:val="0"/>
        </w:numPr>
        <w:rPr>
          <w:rFonts w:hint="eastAsia" w:ascii="楷体" w:hAnsi="楷体" w:eastAsia="楷体" w:cs="楷体"/>
        </w:rPr>
      </w:pPr>
    </w:p>
    <w:p>
      <w:pPr>
        <w:pStyle w:val="4"/>
        <w:bidi w:val="0"/>
        <w:jc w:val="center"/>
        <w:rPr>
          <w:rFonts w:hint="eastAsia" w:ascii="Arial" w:hAnsi="Arial"/>
          <w:b/>
          <w:lang w:val="en-US" w:eastAsia="zh-CN"/>
        </w:rPr>
      </w:pPr>
      <w:bookmarkStart w:id="109" w:name="_Toc20851"/>
      <w:bookmarkStart w:id="110" w:name="_Toc20453"/>
      <w:r>
        <w:rPr>
          <w:rFonts w:hint="eastAsia" w:ascii="Arial" w:hAnsi="Arial"/>
          <w:b/>
          <w:lang w:val="en-US" w:eastAsia="zh-CN"/>
        </w:rPr>
        <w:t>六、合同条款及格式</w:t>
      </w:r>
      <w:bookmarkEnd w:id="109"/>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1" w:name="purchase_name"/>
      <w:bookmarkEnd w:id="111"/>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JY20200</w:t>
      </w:r>
      <w:r>
        <w:rPr>
          <w:rFonts w:hint="eastAsia" w:ascii="楷体" w:hAnsi="楷体" w:eastAsia="楷体" w:cs="楷体"/>
          <w:sz w:val="24"/>
          <w:szCs w:val="24"/>
          <w:lang w:val="en-US" w:eastAsia="zh-CN"/>
        </w:rPr>
        <w:t>72</w:t>
      </w:r>
      <w:r>
        <w:rPr>
          <w:rFonts w:hint="eastAsia" w:ascii="楷体" w:hAnsi="楷体" w:eastAsia="楷体" w:cs="楷体"/>
          <w:sz w:val="24"/>
          <w:szCs w:val="24"/>
        </w:rPr>
        <w:t>）南京交通职业技术学院</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自合同签订后、</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结束时启动付款程序，具体如下：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2" w:name="suppliers_name_one"/>
      <w:bookmarkEnd w:id="112"/>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24"/>
        <w:numPr>
          <w:ilvl w:val="0"/>
          <w:numId w:val="0"/>
        </w:numPr>
        <w:ind w:leftChars="0"/>
        <w:rPr>
          <w:rFonts w:hint="eastAsia" w:ascii="楷体" w:hAnsi="楷体" w:eastAsia="楷体" w:cs="楷体"/>
        </w:rPr>
      </w:pPr>
    </w:p>
    <w:p>
      <w:pPr>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4"/>
        <w:bidi w:val="0"/>
        <w:jc w:val="center"/>
        <w:rPr>
          <w:rFonts w:hint="eastAsia" w:ascii="Arial" w:hAnsi="Arial"/>
          <w:b/>
        </w:rPr>
      </w:pPr>
      <w:bookmarkStart w:id="113" w:name="_Toc23738"/>
      <w:r>
        <w:rPr>
          <w:rFonts w:hint="eastAsia" w:ascii="Arial" w:hAnsi="Arial"/>
          <w:b/>
          <w:lang w:val="en-US" w:eastAsia="zh-CN"/>
        </w:rPr>
        <w:t>七、</w:t>
      </w:r>
      <w:r>
        <w:rPr>
          <w:rFonts w:hint="eastAsia" w:ascii="Arial" w:hAnsi="Arial"/>
          <w:b/>
        </w:rPr>
        <w:t>相关附表格式</w:t>
      </w:r>
      <w:bookmarkEnd w:id="89"/>
      <w:bookmarkEnd w:id="90"/>
      <w:bookmarkEnd w:id="91"/>
      <w:bookmarkEnd w:id="110"/>
      <w:bookmarkEnd w:id="113"/>
      <w:bookmarkStart w:id="114" w:name="_Toc30587"/>
    </w:p>
    <w:p>
      <w:pPr>
        <w:pStyle w:val="4"/>
        <w:bidi w:val="0"/>
        <w:jc w:val="center"/>
        <w:rPr>
          <w:rFonts w:hint="eastAsia" w:ascii="Arial" w:hAnsi="Arial"/>
          <w:b/>
        </w:rPr>
      </w:pPr>
      <w:bookmarkStart w:id="115" w:name="_Toc13019"/>
      <w:bookmarkStart w:id="116" w:name="_Toc19874"/>
      <w:bookmarkStart w:id="117" w:name="_Toc28944"/>
      <w:r>
        <w:rPr>
          <w:rFonts w:hint="eastAsia" w:ascii="Arial" w:hAnsi="Arial"/>
          <w:b/>
        </w:rPr>
        <w:t>附 件1：法人授权委托书</w:t>
      </w:r>
      <w:bookmarkEnd w:id="114"/>
      <w:bookmarkEnd w:id="115"/>
      <w:bookmarkEnd w:id="116"/>
      <w:bookmarkEnd w:id="117"/>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hint="default" w:ascii="楷体" w:hAnsi="楷体" w:eastAsia="楷体" w:cs="楷体"/>
          <w:sz w:val="24"/>
          <w:szCs w:val="24"/>
          <w:lang w:val="en-US" w:eastAsia="zh-CN"/>
        </w:rPr>
      </w:pPr>
      <w:r>
        <w:rPr>
          <w:rFonts w:hint="eastAsia" w:ascii="楷体" w:hAnsi="楷体" w:eastAsia="楷体" w:cs="楷体"/>
          <w:sz w:val="24"/>
          <w:szCs w:val="24"/>
          <w:lang w:eastAsia="zh-CN"/>
        </w:rPr>
        <w:t>后附法人及授权委托人身份证明。</w:t>
      </w: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24"/>
        <w:numPr>
          <w:ilvl w:val="0"/>
          <w:numId w:val="0"/>
        </w:numPr>
        <w:jc w:val="center"/>
        <w:rPr>
          <w:rFonts w:hint="eastAsia" w:ascii="Arial" w:hAnsi="Arial" w:eastAsia="方正楷体_GBK" w:cs="Calibri"/>
          <w:b/>
          <w:bCs w:val="0"/>
          <w:kern w:val="2"/>
          <w:sz w:val="28"/>
          <w:szCs w:val="21"/>
          <w:lang w:val="en-US" w:eastAsia="zh-CN" w:bidi="ar-SA"/>
        </w:rPr>
      </w:pPr>
      <w:bookmarkStart w:id="118" w:name="_Toc30644"/>
      <w:r>
        <w:rPr>
          <w:rFonts w:hint="eastAsia" w:ascii="楷体" w:hAnsi="楷体" w:eastAsia="楷体" w:cs="楷体"/>
          <w:b w:val="0"/>
          <w:bCs w:val="0"/>
        </w:rPr>
        <w:br w:type="page"/>
      </w:r>
      <w:bookmarkEnd w:id="118"/>
      <w:bookmarkStart w:id="119" w:name="_Toc27307"/>
      <w:bookmarkStart w:id="120" w:name="_Toc19684"/>
      <w:bookmarkStart w:id="121" w:name="_Toc9521"/>
      <w:bookmarkStart w:id="122" w:name="_Toc9284"/>
      <w:bookmarkStart w:id="123" w:name="_Toc9701"/>
      <w:r>
        <w:rPr>
          <w:rFonts w:hint="eastAsia" w:ascii="Arial" w:hAnsi="Arial" w:eastAsia="方正楷体_GBK" w:cs="Calibri"/>
          <w:b/>
          <w:bCs w:val="0"/>
          <w:kern w:val="2"/>
          <w:sz w:val="28"/>
          <w:szCs w:val="21"/>
          <w:lang w:val="en-US" w:eastAsia="zh-CN" w:bidi="ar-SA"/>
        </w:rPr>
        <w:t>附 件2：具备履行合同所必需的设备和专业技术能力的书面声明</w:t>
      </w:r>
      <w:bookmarkEnd w:id="119"/>
      <w:bookmarkEnd w:id="120"/>
      <w:bookmarkEnd w:id="121"/>
      <w:bookmarkEnd w:id="122"/>
    </w:p>
    <w:bookmarkEnd w:id="123"/>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
        <w:bidi w:val="0"/>
        <w:jc w:val="center"/>
        <w:rPr>
          <w:rFonts w:hint="eastAsia" w:ascii="Arial" w:hAnsi="Arial"/>
          <w:b/>
        </w:rPr>
      </w:pPr>
      <w:r>
        <w:rPr>
          <w:rFonts w:hint="eastAsia" w:ascii="Arial" w:hAnsi="Arial"/>
          <w:b/>
        </w:rPr>
        <w:br w:type="page"/>
      </w:r>
      <w:bookmarkStart w:id="124" w:name="_Toc190"/>
      <w:bookmarkStart w:id="125" w:name="_Toc18188"/>
      <w:bookmarkStart w:id="126" w:name="_Toc26453"/>
      <w:bookmarkStart w:id="127" w:name="_Toc31391"/>
      <w:bookmarkStart w:id="128" w:name="_Toc30482"/>
      <w:bookmarkStart w:id="129" w:name="_Toc10944"/>
      <w:bookmarkStart w:id="130" w:name="_Toc8873"/>
      <w:r>
        <w:rPr>
          <w:rFonts w:hint="eastAsia" w:ascii="Arial" w:hAnsi="Arial"/>
          <w:b/>
        </w:rPr>
        <w:t>附 件</w:t>
      </w:r>
      <w:bookmarkEnd w:id="124"/>
      <w:bookmarkEnd w:id="125"/>
      <w:r>
        <w:rPr>
          <w:rFonts w:hint="eastAsia" w:ascii="Arial" w:hAnsi="Arial"/>
          <w:b/>
          <w:lang w:val="en-US" w:eastAsia="zh-CN"/>
        </w:rPr>
        <w:t>3</w:t>
      </w:r>
      <w:r>
        <w:rPr>
          <w:rFonts w:hint="eastAsia" w:ascii="Arial" w:hAnsi="Arial"/>
          <w:b/>
        </w:rPr>
        <w:t>：三年内无重大违纪声明</w:t>
      </w:r>
      <w:bookmarkEnd w:id="126"/>
      <w:bookmarkEnd w:id="127"/>
      <w:bookmarkEnd w:id="128"/>
      <w:bookmarkEnd w:id="129"/>
      <w:bookmarkEnd w:id="130"/>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24"/>
        <w:numPr>
          <w:ilvl w:val="0"/>
          <w:numId w:val="0"/>
        </w:numPr>
        <w:jc w:val="center"/>
        <w:rPr>
          <w:rFonts w:hint="eastAsia" w:ascii="Arial" w:hAnsi="Arial" w:eastAsia="方正楷体_GBK" w:cs="Calibri"/>
          <w:b/>
          <w:bCs w:val="0"/>
          <w:kern w:val="2"/>
          <w:sz w:val="28"/>
          <w:szCs w:val="21"/>
          <w:lang w:val="en-US" w:eastAsia="zh-CN" w:bidi="ar-SA"/>
        </w:rPr>
      </w:pPr>
      <w:r>
        <w:rPr>
          <w:rFonts w:hint="eastAsia" w:ascii="楷体" w:hAnsi="楷体" w:eastAsia="楷体" w:cs="楷体"/>
          <w:b w:val="0"/>
          <w:bCs w:val="0"/>
          <w:sz w:val="24"/>
          <w:szCs w:val="24"/>
        </w:rPr>
        <w:br w:type="page"/>
      </w:r>
      <w:bookmarkStart w:id="131" w:name="_Toc26218"/>
      <w:bookmarkStart w:id="132" w:name="_Toc16683"/>
      <w:bookmarkStart w:id="133" w:name="_Toc19093"/>
      <w:bookmarkStart w:id="134" w:name="_Toc4338"/>
      <w:bookmarkStart w:id="135" w:name="_Toc4301"/>
      <w:r>
        <w:rPr>
          <w:rFonts w:hint="eastAsia" w:ascii="Arial" w:hAnsi="Arial" w:eastAsia="方正楷体_GBK" w:cs="Calibri"/>
          <w:b/>
          <w:bCs w:val="0"/>
          <w:kern w:val="2"/>
          <w:sz w:val="28"/>
          <w:szCs w:val="21"/>
          <w:lang w:val="en-US" w:eastAsia="zh-CN" w:bidi="ar-SA"/>
        </w:rPr>
        <w:t>附 件4：中小企业声明函格式</w:t>
      </w:r>
      <w:bookmarkEnd w:id="131"/>
      <w:bookmarkEnd w:id="132"/>
      <w:bookmarkEnd w:id="133"/>
      <w:bookmarkEnd w:id="134"/>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5"/>
      <w:bookmarkStart w:id="136" w:name="_Toc31660"/>
      <w:bookmarkStart w:id="137" w:name="_Toc30780"/>
      <w:bookmarkStart w:id="138" w:name="_Toc11048"/>
      <w:bookmarkStart w:id="139" w:name="_Toc10887"/>
    </w:p>
    <w:bookmarkEnd w:id="136"/>
    <w:bookmarkEnd w:id="137"/>
    <w:bookmarkEnd w:id="138"/>
    <w:bookmarkEnd w:id="139"/>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sectPr>
      <w:headerReference r:id="rId9" w:type="default"/>
      <w:footerReference r:id="rId10" w:type="default"/>
      <w:pgSz w:w="11906" w:h="16838"/>
      <w:pgMar w:top="1440" w:right="1803" w:bottom="1440" w:left="1803" w:header="851" w:footer="992" w:gutter="0"/>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7"/>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5.5pt;width:22.55pt;mso-position-horizontal:center;mso-position-horizontal-relative:margin;mso-wrap-style:none;z-index:251658240;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lJ0bwwEAAGADAAAOAAAAZHJzL2Uyb0RvYy54bWytU0tuGzEM3RfI&#10;HQTt6/EHNpyB5aBFkKBA0RZIcgBZI3kESKIgyZ7xBdobdNVN9z2Xz1FK9jhFsgu60VAkRb73yFnd&#10;9NaQvQxRg2N0MhpTIp2ARrsto0+Pd++XlMTEXcMNOMnoQUZ6s756t+p8LafQgmlkIFjExbrzjLYp&#10;+bqqomil5XEEXjoMKgiWJ7yGbdUE3mF1a6rpeLyoOgiNDyBkjOi9PQXputRXSor0VakoEzGMIrZU&#10;zlDOTT6r9YrX28B9q8UZBn8DCsu1w6aXUrc8cbIL+lUpq0WACCqNBNgKlNJCFg7IZjJ+weah5V4W&#10;LihO9BeZ4v8rK77svwWiG0ZnlDhucUTHnz+Ov/4cf38nsyxP52ONWQ8e81L/EXoc8+CP6MysexVs&#10;/iIfgnEU+nARV/aJCHROl4vZck6JwNDkerGcF/Gr58c+xHQvwZJsMBpwdkVSvv8cEwLB1CEl93Jw&#10;p40p8zOOdIxez6fz8uASwRfG5VxZNuFcJhM6Ac9W6jf9meUGmgOS7HAbGHW4rpSYTw7FzoszGGEw&#10;NoOx80FvW0Q8Kd2j/7BLiK1Azh1OZRF/vuAYC5PzyuU9+fdesp5/jP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xZx9EAAAADAQAADwAAAAAAAAABACAAAAAiAAAAZHJzL2Rvd25yZXYueG1sUEsB&#10;AhQAFAAAAAgAh07iQH+UnRvDAQAAYAMAAA4AAAAAAAAAAQAgAAAAIAEAAGRycy9lMm9Eb2MueG1s&#10;UEsFBgAAAAAGAAYAWQEAAFUFAAAAAA==&#10;">
              <v:fill on="f" focussize="0,0"/>
              <v:stroke on="f"/>
              <v:imagedata o:title=""/>
              <o:lock v:ext="edit" aspectratio="f"/>
              <v:textbox inset="0mm,0mm,0mm,0mm" style="mso-fit-shape-to-text:t;">
                <w:txbxContent>
                  <w:p>
                    <w:pPr>
                      <w:pStyle w:val="7"/>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rPr>
      <w:t>JY2020</w:t>
    </w:r>
    <w:r>
      <w:rPr>
        <w:rFonts w:hint="eastAsia"/>
        <w:lang w:val="en-US" w:eastAsia="zh-CN"/>
      </w:rPr>
      <w:t>0</w:t>
    </w:r>
    <w:r>
      <w:rPr>
        <w:rFonts w:hint="eastAsia"/>
      </w:rPr>
      <w:t xml:space="preserve"> </w:t>
    </w:r>
    <w:r>
      <w:rPr>
        <w:rFonts w:hint="eastAsia"/>
        <w:lang w:val="en-US" w:eastAsia="zh-CN"/>
      </w:rPr>
      <w:t>XX</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0D527"/>
    <w:multiLevelType w:val="singleLevel"/>
    <w:tmpl w:val="9D30D527"/>
    <w:lvl w:ilvl="0" w:tentative="0">
      <w:start w:val="1"/>
      <w:numFmt w:val="decimal"/>
      <w:lvlText w:val="%1)"/>
      <w:lvlJc w:val="left"/>
      <w:pPr>
        <w:ind w:left="425" w:hanging="425"/>
      </w:pPr>
      <w:rPr>
        <w:rFonts w:hint="default"/>
      </w:rPr>
    </w:lvl>
  </w:abstractNum>
  <w:abstractNum w:abstractNumId="1">
    <w:nsid w:val="CAC2A000"/>
    <w:multiLevelType w:val="singleLevel"/>
    <w:tmpl w:val="CAC2A000"/>
    <w:lvl w:ilvl="0" w:tentative="0">
      <w:start w:val="1"/>
      <w:numFmt w:val="decimal"/>
      <w:suff w:val="nothing"/>
      <w:lvlText w:val="%1、"/>
      <w:lvlJc w:val="left"/>
    </w:lvl>
  </w:abstractNum>
  <w:abstractNum w:abstractNumId="2">
    <w:nsid w:val="00000011"/>
    <w:multiLevelType w:val="multilevel"/>
    <w:tmpl w:val="00000011"/>
    <w:lvl w:ilvl="0" w:tentative="0">
      <w:start w:val="1"/>
      <w:numFmt w:val="japaneseCounting"/>
      <w:pStyle w:val="24"/>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28B28F79"/>
    <w:multiLevelType w:val="singleLevel"/>
    <w:tmpl w:val="28B28F79"/>
    <w:lvl w:ilvl="0" w:tentative="0">
      <w:start w:val="12"/>
      <w:numFmt w:val="chineseCounting"/>
      <w:suff w:val="nothing"/>
      <w:lvlText w:val="%1、"/>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E7DB9"/>
    <w:rsid w:val="000843CA"/>
    <w:rsid w:val="000D6745"/>
    <w:rsid w:val="02982430"/>
    <w:rsid w:val="06A10831"/>
    <w:rsid w:val="0A0F7809"/>
    <w:rsid w:val="0AA11CCD"/>
    <w:rsid w:val="0BDD3AB2"/>
    <w:rsid w:val="0E06373D"/>
    <w:rsid w:val="0EFC10A4"/>
    <w:rsid w:val="0F0F7553"/>
    <w:rsid w:val="0FB74E57"/>
    <w:rsid w:val="159623A7"/>
    <w:rsid w:val="1ABE2B46"/>
    <w:rsid w:val="1CA75C6A"/>
    <w:rsid w:val="21E76CAF"/>
    <w:rsid w:val="268E7DB9"/>
    <w:rsid w:val="27B558B8"/>
    <w:rsid w:val="29CE2EBB"/>
    <w:rsid w:val="2B655E45"/>
    <w:rsid w:val="2D183DDD"/>
    <w:rsid w:val="31BA21BD"/>
    <w:rsid w:val="39CC3734"/>
    <w:rsid w:val="3A360413"/>
    <w:rsid w:val="3CE47133"/>
    <w:rsid w:val="3DD30D41"/>
    <w:rsid w:val="48627008"/>
    <w:rsid w:val="4AD804F4"/>
    <w:rsid w:val="4CCF647C"/>
    <w:rsid w:val="4FC96EE5"/>
    <w:rsid w:val="50A90CC7"/>
    <w:rsid w:val="53D10A84"/>
    <w:rsid w:val="587F24FE"/>
    <w:rsid w:val="58EA3AFE"/>
    <w:rsid w:val="5FDC7FB7"/>
    <w:rsid w:val="64C04064"/>
    <w:rsid w:val="667A2D15"/>
    <w:rsid w:val="68954316"/>
    <w:rsid w:val="6B8676E5"/>
    <w:rsid w:val="6BF46B78"/>
    <w:rsid w:val="6F5D030E"/>
    <w:rsid w:val="70011131"/>
    <w:rsid w:val="754F3785"/>
    <w:rsid w:val="78F622B8"/>
    <w:rsid w:val="7AEF2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楷体_GBK"/>
      <w:b/>
      <w:kern w:val="44"/>
      <w:sz w:val="44"/>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Arial" w:hAnsi="Arial" w:eastAsia="方正楷体_GBK"/>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99"/>
    <w:pPr>
      <w:ind w:left="600" w:leftChars="600"/>
    </w:pPr>
    <w:rPr>
      <w:rFonts w:ascii="Verdana" w:hAnsi="Verdana"/>
      <w:szCs w:val="20"/>
    </w:rPr>
  </w:style>
  <w:style w:type="paragraph" w:styleId="5">
    <w:name w:val="Normal Indent"/>
    <w:basedOn w:val="1"/>
    <w:qFormat/>
    <w:uiPriority w:val="0"/>
    <w:pPr>
      <w:ind w:firstLine="420"/>
    </w:pPr>
    <w:rPr>
      <w:szCs w:val="20"/>
    </w:rPr>
  </w:style>
  <w:style w:type="paragraph" w:styleId="6">
    <w:name w:val="Body Text"/>
    <w:basedOn w:val="1"/>
    <w:qFormat/>
    <w:uiPriority w:val="1"/>
  </w:style>
  <w:style w:type="paragraph" w:styleId="7">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8">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9">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0">
    <w:name w:val="toc 2"/>
    <w:basedOn w:val="1"/>
    <w:next w:val="1"/>
    <w:qFormat/>
    <w:uiPriority w:val="0"/>
    <w:pPr>
      <w:ind w:left="420" w:leftChars="200"/>
    </w:pPr>
  </w:style>
  <w:style w:type="paragraph" w:styleId="11">
    <w:name w:val="Body Text First Indent"/>
    <w:basedOn w:val="6"/>
    <w:qFormat/>
    <w:uiPriority w:val="99"/>
    <w:pPr>
      <w:ind w:firstLine="420" w:firstLineChars="100"/>
    </w:pPr>
  </w:style>
  <w:style w:type="character" w:styleId="14">
    <w:name w:val="Strong"/>
    <w:basedOn w:val="13"/>
    <w:qFormat/>
    <w:uiPriority w:val="0"/>
  </w:style>
  <w:style w:type="character" w:styleId="15">
    <w:name w:val="Emphasis"/>
    <w:basedOn w:val="13"/>
    <w:qFormat/>
    <w:uiPriority w:val="0"/>
  </w:style>
  <w:style w:type="character" w:styleId="16">
    <w:name w:val="HTML Definition"/>
    <w:basedOn w:val="13"/>
    <w:qFormat/>
    <w:uiPriority w:val="0"/>
  </w:style>
  <w:style w:type="character" w:styleId="17">
    <w:name w:val="HTML Variable"/>
    <w:basedOn w:val="13"/>
    <w:qFormat/>
    <w:uiPriority w:val="0"/>
  </w:style>
  <w:style w:type="character" w:styleId="18">
    <w:name w:val="Hyperlink"/>
    <w:basedOn w:val="13"/>
    <w:qFormat/>
    <w:uiPriority w:val="0"/>
  </w:style>
  <w:style w:type="character" w:styleId="19">
    <w:name w:val="HTML Code"/>
    <w:basedOn w:val="13"/>
    <w:qFormat/>
    <w:uiPriority w:val="0"/>
    <w:rPr>
      <w:rFonts w:ascii="Helvetica" w:hAnsi="Helvetica" w:eastAsia="Helvetica" w:cs="Helvetica"/>
      <w:color w:val="FFFFFF"/>
      <w:sz w:val="18"/>
      <w:szCs w:val="18"/>
    </w:rPr>
  </w:style>
  <w:style w:type="character" w:styleId="20">
    <w:name w:val="HTML Cite"/>
    <w:basedOn w:val="13"/>
    <w:qFormat/>
    <w:uiPriority w:val="0"/>
  </w:style>
  <w:style w:type="paragraph" w:customStyle="1" w:styleId="21">
    <w:name w:val="首行缩进"/>
    <w:qFormat/>
    <w:uiPriority w:val="0"/>
    <w:pPr>
      <w:widowControl w:val="0"/>
      <w:autoSpaceDE w:val="0"/>
      <w:autoSpaceDN w:val="0"/>
      <w:ind w:firstLine="480" w:firstLineChars="200"/>
    </w:pPr>
    <w:rPr>
      <w:rFonts w:ascii="宋体" w:hAnsi="宋体" w:eastAsia="宋体" w:cs="宋体"/>
      <w:sz w:val="22"/>
      <w:szCs w:val="22"/>
      <w:lang w:val="zh-CN" w:eastAsia="zh-CN" w:bidi="zh-CN"/>
    </w:rPr>
  </w:style>
  <w:style w:type="paragraph" w:customStyle="1" w:styleId="2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23">
    <w:name w:val="一级目录"/>
    <w:next w:val="1"/>
    <w:qFormat/>
    <w:uiPriority w:val="99"/>
    <w:pPr>
      <w:spacing w:after="100" w:afterLines="100"/>
      <w:jc w:val="center"/>
      <w:outlineLvl w:val="0"/>
    </w:pPr>
    <w:rPr>
      <w:rFonts w:ascii="黑体" w:hAnsi="黑体" w:eastAsia="方正楷体_GBK" w:cs="Times New Roman"/>
      <w:b/>
      <w:bCs/>
      <w:kern w:val="2"/>
      <w:sz w:val="44"/>
      <w:szCs w:val="44"/>
      <w:lang w:val="en-US" w:eastAsia="zh-CN" w:bidi="ar-SA"/>
    </w:rPr>
  </w:style>
  <w:style w:type="paragraph" w:customStyle="1" w:styleId="24">
    <w:name w:val="二级目录"/>
    <w:next w:val="1"/>
    <w:qFormat/>
    <w:uiPriority w:val="99"/>
    <w:pPr>
      <w:numPr>
        <w:ilvl w:val="0"/>
        <w:numId w:val="1"/>
      </w:numPr>
      <w:outlineLvl w:val="1"/>
    </w:pPr>
    <w:rPr>
      <w:rFonts w:ascii="Calibri" w:hAnsi="Calibri" w:eastAsia="方正楷体_GBK" w:cs="Times New Roman"/>
      <w:b/>
      <w:bCs/>
      <w:kern w:val="2"/>
      <w:sz w:val="28"/>
      <w:szCs w:val="28"/>
      <w:lang w:val="en-US" w:eastAsia="zh-CN" w:bidi="ar-SA"/>
    </w:rPr>
  </w:style>
  <w:style w:type="paragraph" w:customStyle="1" w:styleId="25">
    <w:name w:val="列出段落1"/>
    <w:basedOn w:val="1"/>
    <w:qFormat/>
    <w:uiPriority w:val="99"/>
    <w:pPr>
      <w:ind w:firstLine="420" w:firstLineChars="200"/>
    </w:pPr>
  </w:style>
  <w:style w:type="character" w:customStyle="1" w:styleId="26">
    <w:name w:val="x-tab-strip-text"/>
    <w:basedOn w:val="13"/>
    <w:qFormat/>
    <w:uiPriority w:val="0"/>
    <w:rPr>
      <w:color w:val="15428B"/>
    </w:rPr>
  </w:style>
  <w:style w:type="character" w:customStyle="1" w:styleId="27">
    <w:name w:val="x-tab-strip-text1"/>
    <w:basedOn w:val="13"/>
    <w:qFormat/>
    <w:uiPriority w:val="0"/>
  </w:style>
  <w:style w:type="character" w:customStyle="1" w:styleId="28">
    <w:name w:val="x-tab-strip-text2"/>
    <w:basedOn w:val="13"/>
    <w:qFormat/>
    <w:uiPriority w:val="0"/>
    <w:rPr>
      <w:rFonts w:ascii="宋体" w:hAnsi="宋体" w:eastAsia="宋体" w:cs="宋体"/>
      <w:color w:val="416AA3"/>
      <w:sz w:val="18"/>
      <w:szCs w:val="18"/>
    </w:rPr>
  </w:style>
  <w:style w:type="character" w:customStyle="1" w:styleId="29">
    <w:name w:val="x-tab-strip-text3"/>
    <w:basedOn w:val="13"/>
    <w:qFormat/>
    <w:uiPriority w:val="0"/>
  </w:style>
  <w:style w:type="character" w:customStyle="1" w:styleId="30">
    <w:name w:val="x-tab-strip-text4"/>
    <w:basedOn w:val="13"/>
    <w:qFormat/>
    <w:uiPriority w:val="0"/>
  </w:style>
  <w:style w:type="character" w:customStyle="1" w:styleId="31">
    <w:name w:val="x-tab-strip-text5"/>
    <w:basedOn w:val="13"/>
    <w:qFormat/>
    <w:uiPriority w:val="0"/>
    <w:rPr>
      <w:b/>
      <w:color w:val="15428B"/>
    </w:rPr>
  </w:style>
  <w:style w:type="character" w:customStyle="1" w:styleId="32">
    <w:name w:val="x-tab-strip-text6"/>
    <w:basedOn w:val="13"/>
    <w:qFormat/>
    <w:uiPriority w:val="0"/>
    <w:rPr>
      <w:color w:val="FFFFFF"/>
    </w:rPr>
  </w:style>
  <w:style w:type="character" w:customStyle="1" w:styleId="33">
    <w:name w:val="x-tab-strip-text7"/>
    <w:basedOn w:val="13"/>
    <w:qFormat/>
    <w:uiPriority w:val="0"/>
  </w:style>
  <w:style w:type="character" w:customStyle="1" w:styleId="34">
    <w:name w:val="x-tab-strip-text8"/>
    <w:basedOn w:val="13"/>
    <w:qFormat/>
    <w:uiPriority w:val="0"/>
    <w:rPr>
      <w:color w:val="246BB3"/>
    </w:rPr>
  </w:style>
  <w:style w:type="character" w:customStyle="1" w:styleId="35">
    <w:name w:val="x-tab-strip-text9"/>
    <w:basedOn w:val="13"/>
    <w:qFormat/>
    <w:uiPriority w:val="0"/>
    <w:rPr>
      <w:color w:val="012F5E"/>
    </w:rPr>
  </w:style>
  <w:style w:type="character" w:customStyle="1" w:styleId="36">
    <w:name w:val="x-tab-strip-text10"/>
    <w:basedOn w:val="13"/>
    <w:qFormat/>
    <w:uiPriority w:val="0"/>
    <w:rPr>
      <w:color w:val="02245B"/>
    </w:rPr>
  </w:style>
  <w:style w:type="character" w:customStyle="1" w:styleId="37">
    <w:name w:val="display"/>
    <w:basedOn w:val="13"/>
    <w:qFormat/>
    <w:uiPriority w:val="0"/>
  </w:style>
  <w:style w:type="character" w:customStyle="1" w:styleId="38">
    <w:name w:val="display1"/>
    <w:basedOn w:val="13"/>
    <w:qFormat/>
    <w:uiPriority w:val="0"/>
    <w:rPr>
      <w:bdr w:val="single" w:color="AAAAAA" w:sz="6" w:space="0"/>
    </w:rPr>
  </w:style>
  <w:style w:type="character" w:customStyle="1" w:styleId="39">
    <w:name w:val="on"/>
    <w:basedOn w:val="13"/>
    <w:qFormat/>
    <w:uiPriority w:val="0"/>
    <w:rPr>
      <w:rFonts w:ascii="Tahoma" w:hAnsi="Tahoma" w:eastAsia="Tahoma" w:cs="Tahoma"/>
      <w:color w:val="004080"/>
      <w:sz w:val="18"/>
      <w:szCs w:val="18"/>
      <w:shd w:val="clear" w:fill="9FD6FF"/>
    </w:rPr>
  </w:style>
  <w:style w:type="character" w:customStyle="1" w:styleId="40">
    <w:name w:val="btnbargray"/>
    <w:basedOn w:val="13"/>
    <w:qFormat/>
    <w:uiPriority w:val="0"/>
    <w:rPr>
      <w:color w:val="808080"/>
    </w:rPr>
  </w:style>
  <w:style w:type="character" w:customStyle="1" w:styleId="41">
    <w:name w:val="groupcaptionhandler"/>
    <w:basedOn w:val="13"/>
    <w:qFormat/>
    <w:uiPriority w:val="0"/>
  </w:style>
  <w:style w:type="character" w:customStyle="1" w:styleId="42">
    <w:name w:val="img"/>
    <w:basedOn w:val="13"/>
    <w:qFormat/>
    <w:uiPriority w:val="0"/>
  </w:style>
  <w:style w:type="character" w:customStyle="1" w:styleId="43">
    <w:name w:val="placehold"/>
    <w:basedOn w:val="13"/>
    <w:qFormat/>
    <w:uiPriority w:val="0"/>
  </w:style>
  <w:style w:type="character" w:customStyle="1" w:styleId="44">
    <w:name w:val="task-item-subject"/>
    <w:basedOn w:val="13"/>
    <w:qFormat/>
    <w:uiPriority w:val="0"/>
  </w:style>
  <w:style w:type="character" w:customStyle="1" w:styleId="45">
    <w:name w:val="subdisplay"/>
    <w:basedOn w:val="13"/>
    <w:qFormat/>
    <w:uiPriority w:val="0"/>
    <w:rPr>
      <w:color w:val="808080"/>
    </w:rPr>
  </w:style>
  <w:style w:type="character" w:customStyle="1" w:styleId="46">
    <w:name w:val="subdisplay1"/>
    <w:basedOn w:val="13"/>
    <w:qFormat/>
    <w:uiPriority w:val="0"/>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2020-08-03T05:37:00Z</dcterms:created>
  <dc:creator>丁成业</dc:creator>
  <cp:lastModifiedBy>user</cp:lastModifiedBy>
  <cp:lastPrinted>2020-08-05T06:05:00Z</cp:lastPrinted>
  <dcterms:modified xsi:type="dcterms:W3CDTF">2020-08-20T04:23:45Z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