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ind w:firstLine="0" w:firstLineChars="0"/>
        <w:rPr>
          <w:rFonts w:eastAsia="黑体"/>
          <w:b/>
          <w:bCs/>
          <w:sz w:val="84"/>
        </w:rPr>
      </w:pPr>
    </w:p>
    <w:p>
      <w:pPr>
        <w:pStyle w:val="22"/>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22"/>
        <w:ind w:firstLine="0" w:firstLineChars="0"/>
        <w:jc w:val="both"/>
        <w:rPr>
          <w:rFonts w:hint="eastAsia" w:ascii="楷体" w:hAnsi="楷体" w:eastAsia="楷体" w:cs="楷体"/>
          <w:b/>
          <w:bCs/>
          <w:sz w:val="36"/>
          <w:szCs w:val="36"/>
        </w:rPr>
      </w:pPr>
    </w:p>
    <w:p>
      <w:pPr>
        <w:pStyle w:val="22"/>
        <w:ind w:firstLine="0" w:firstLineChars="0"/>
        <w:jc w:val="both"/>
        <w:rPr>
          <w:rFonts w:hint="eastAsia" w:ascii="楷体" w:hAnsi="楷体" w:eastAsia="楷体" w:cs="楷体"/>
          <w:b/>
          <w:bCs/>
          <w:sz w:val="36"/>
          <w:szCs w:val="36"/>
        </w:rPr>
      </w:pPr>
    </w:p>
    <w:p>
      <w:pPr>
        <w:spacing w:after="156" w:afterLines="50" w:line="640" w:lineRule="exact"/>
        <w:ind w:left="838" w:leftChars="399" w:firstLine="0" w:firstLineChars="0"/>
        <w:jc w:val="both"/>
        <w:rPr>
          <w:rFonts w:hint="eastAsia" w:ascii="楷体" w:hAnsi="楷体" w:eastAsia="楷体" w:cs="楷体"/>
          <w:b/>
          <w:bCs/>
          <w:sz w:val="40"/>
          <w:szCs w:val="40"/>
          <w:lang w:eastAsia="zh-CN"/>
        </w:rPr>
      </w:pPr>
      <w:r>
        <w:rPr>
          <w:rFonts w:hint="eastAsia" w:ascii="楷体" w:hAnsi="楷体" w:eastAsia="楷体" w:cs="楷体"/>
          <w:b/>
          <w:bCs/>
          <w:sz w:val="40"/>
          <w:szCs w:val="40"/>
        </w:rPr>
        <w:t>项目名称：南京交通职业技术学院</w:t>
      </w:r>
      <w:r>
        <w:rPr>
          <w:rFonts w:hint="eastAsia" w:ascii="楷体" w:hAnsi="楷体" w:eastAsia="楷体" w:cs="楷体"/>
          <w:b/>
          <w:bCs/>
          <w:sz w:val="40"/>
          <w:szCs w:val="40"/>
          <w:lang w:eastAsia="zh-CN"/>
        </w:rPr>
        <w:t>学校</w:t>
      </w:r>
    </w:p>
    <w:p>
      <w:pPr>
        <w:spacing w:after="156" w:afterLines="50" w:line="640" w:lineRule="exact"/>
        <w:ind w:left="838" w:leftChars="399" w:firstLine="0" w:firstLineChars="0"/>
        <w:jc w:val="center"/>
        <w:rPr>
          <w:rFonts w:hint="eastAsia" w:ascii="楷体" w:hAnsi="楷体" w:eastAsia="楷体" w:cs="楷体"/>
          <w:b/>
          <w:bCs/>
          <w:sz w:val="40"/>
          <w:szCs w:val="40"/>
        </w:rPr>
      </w:pPr>
      <w:r>
        <w:rPr>
          <w:rFonts w:hint="eastAsia" w:ascii="楷体" w:hAnsi="楷体" w:eastAsia="楷体" w:cs="楷体"/>
          <w:b/>
          <w:bCs/>
          <w:sz w:val="40"/>
          <w:szCs w:val="40"/>
          <w:lang w:eastAsia="zh-CN"/>
        </w:rPr>
        <w:t>网络建设项目监理</w:t>
      </w:r>
      <w:r>
        <w:rPr>
          <w:rFonts w:hint="eastAsia" w:ascii="楷体" w:hAnsi="楷体" w:eastAsia="楷体" w:cs="楷体"/>
          <w:b/>
          <w:bCs/>
          <w:sz w:val="40"/>
          <w:szCs w:val="40"/>
        </w:rPr>
        <w:t>项目</w:t>
      </w:r>
    </w:p>
    <w:p>
      <w:pPr>
        <w:spacing w:line="640" w:lineRule="exact"/>
        <w:ind w:left="838" w:leftChars="399" w:firstLine="0" w:firstLineChars="0"/>
        <w:jc w:val="both"/>
        <w:rPr>
          <w:rFonts w:hint="default" w:ascii="楷体" w:hAnsi="楷体" w:eastAsia="楷体" w:cs="楷体"/>
          <w:b/>
          <w:bCs/>
          <w:sz w:val="40"/>
          <w:szCs w:val="40"/>
          <w:lang w:val="en-US" w:eastAsia="zh-CN"/>
        </w:rPr>
      </w:pPr>
      <w:r>
        <w:rPr>
          <w:rFonts w:hint="eastAsia" w:ascii="楷体" w:hAnsi="楷体" w:eastAsia="楷体" w:cs="楷体"/>
          <w:b/>
          <w:bCs/>
          <w:sz w:val="40"/>
          <w:szCs w:val="40"/>
        </w:rPr>
        <w:t>项目编号：JY2020</w:t>
      </w:r>
      <w:r>
        <w:rPr>
          <w:rFonts w:hint="eastAsia" w:ascii="楷体" w:hAnsi="楷体" w:eastAsia="楷体" w:cs="楷体"/>
          <w:b/>
          <w:bCs/>
          <w:sz w:val="40"/>
          <w:szCs w:val="40"/>
          <w:lang w:val="en-US" w:eastAsia="zh-CN"/>
        </w:rPr>
        <w:t>072</w:t>
      </w:r>
    </w:p>
    <w:p>
      <w:pPr>
        <w:pStyle w:val="22"/>
        <w:ind w:firstLine="0" w:firstLineChars="0"/>
        <w:jc w:val="both"/>
        <w:rPr>
          <w:rFonts w:ascii="宋体" w:hAnsi="宋体"/>
          <w:b/>
          <w:bCs/>
          <w:sz w:val="36"/>
          <w:szCs w:val="36"/>
        </w:rPr>
      </w:pPr>
    </w:p>
    <w:p>
      <w:pPr>
        <w:pStyle w:val="22"/>
        <w:ind w:firstLine="723"/>
        <w:jc w:val="both"/>
        <w:rPr>
          <w:rFonts w:ascii="宋体" w:hAnsi="宋体"/>
          <w:b/>
          <w:bCs/>
          <w:sz w:val="36"/>
          <w:szCs w:val="36"/>
        </w:rPr>
      </w:pPr>
    </w:p>
    <w:p>
      <w:pPr>
        <w:pStyle w:val="22"/>
        <w:ind w:firstLine="723"/>
        <w:jc w:val="center"/>
        <w:rPr>
          <w:rFonts w:ascii="宋体" w:hAnsi="宋体"/>
          <w:b/>
          <w:bCs/>
          <w:sz w:val="36"/>
          <w:szCs w:val="36"/>
        </w:rPr>
      </w:pPr>
    </w:p>
    <w:p>
      <w:pPr>
        <w:pStyle w:val="22"/>
        <w:ind w:firstLine="723"/>
        <w:jc w:val="center"/>
        <w:rPr>
          <w:rFonts w:ascii="宋体" w:hAnsi="宋体"/>
          <w:b/>
          <w:bCs/>
          <w:sz w:val="36"/>
          <w:szCs w:val="36"/>
        </w:rPr>
      </w:pPr>
    </w:p>
    <w:p>
      <w:pPr>
        <w:pStyle w:val="22"/>
        <w:ind w:firstLine="723"/>
        <w:jc w:val="center"/>
        <w:rPr>
          <w:rFonts w:ascii="宋体" w:hAnsi="宋体"/>
          <w:b/>
          <w:bCs/>
          <w:sz w:val="36"/>
          <w:szCs w:val="36"/>
        </w:rPr>
      </w:pPr>
    </w:p>
    <w:p>
      <w:pPr>
        <w:pStyle w:val="22"/>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22"/>
        <w:ind w:firstLine="723"/>
        <w:jc w:val="center"/>
        <w:rPr>
          <w:rFonts w:hint="eastAsia" w:ascii="楷体" w:hAnsi="楷体" w:eastAsia="楷体" w:cs="楷体"/>
          <w:b/>
          <w:bCs/>
          <w:sz w:val="36"/>
          <w:szCs w:val="36"/>
        </w:rPr>
      </w:pPr>
    </w:p>
    <w:p>
      <w:pPr>
        <w:pStyle w:val="22"/>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〇 年 </w:t>
      </w:r>
      <w:r>
        <w:rPr>
          <w:rFonts w:hint="eastAsia" w:ascii="楷体" w:hAnsi="楷体" w:eastAsia="楷体" w:cs="楷体"/>
          <w:b/>
          <w:bCs/>
          <w:sz w:val="36"/>
          <w:szCs w:val="36"/>
          <w:lang w:val="en-US" w:eastAsia="zh-CN"/>
        </w:rPr>
        <w:t>八</w:t>
      </w:r>
      <w:r>
        <w:rPr>
          <w:rFonts w:hint="eastAsia" w:ascii="楷体" w:hAnsi="楷体" w:eastAsia="楷体" w:cs="楷体"/>
          <w:b/>
          <w:bCs/>
          <w:sz w:val="36"/>
          <w:szCs w:val="36"/>
        </w:rPr>
        <w:t xml:space="preserve"> 月</w:t>
      </w:r>
    </w:p>
    <w:p>
      <w:pPr>
        <w:pStyle w:val="22"/>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楷体" w:hAnsi="楷体" w:eastAsia="楷体" w:cs="楷体"/>
          <w:kern w:val="2"/>
          <w:sz w:val="21"/>
          <w:szCs w:val="21"/>
        </w:rPr>
      </w:pPr>
      <w:r>
        <w:rPr>
          <w:rFonts w:hint="eastAsia" w:ascii="楷体" w:hAnsi="楷体" w:eastAsia="楷体" w:cs="楷体"/>
          <w:kern w:val="2"/>
          <w:sz w:val="21"/>
          <w:szCs w:val="21"/>
        </w:rPr>
        <w:br w:type="page"/>
      </w:r>
      <w:bookmarkStart w:id="0" w:name="_Toc120614210"/>
      <w:bookmarkStart w:id="1" w:name="_Toc513029200"/>
      <w:bookmarkStart w:id="2" w:name="_Toc20823272"/>
      <w:bookmarkStart w:id="3" w:name="_Toc479757206"/>
      <w:bookmarkStart w:id="4" w:name="_Toc523127445"/>
      <w:bookmarkStart w:id="5" w:name="_Toc16938516"/>
    </w:p>
    <w:p>
      <w:pPr>
        <w:pStyle w:val="22"/>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目    录</w:t>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_Toc5406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第一章  采购邀请</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_Toc5406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_Toc27034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一、采购项目简要说明</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_Toc27034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_Toc10733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二、合格磋商供应商资格要求</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_Toc10733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_Toc20365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三、磋商文件发布信息及报名要求</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_Toc20365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_Toc2830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四、响应文件</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_Toc2830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_Toc29400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五、磋商保证金</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_Toc29400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_Toc20037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六、采购人联系方式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_Toc20037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_Toc7825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第二章  磋商须知</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_Toc7825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_Toc29990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一、总则</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_Toc29990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_Toc3435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二、响应文件编制</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_Toc3435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_Toc22852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三、响应文件签署与提交</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_Toc22852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6</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_Toc15791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四、磋商</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_Toc15791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7</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_Toc26301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五</w:t>
      </w:r>
      <w:r>
        <w:rPr>
          <w:rFonts w:hint="eastAsia" w:ascii="方正楷体_GBK" w:hAnsi="方正楷体_GBK" w:eastAsia="方正楷体_GBK" w:cs="方正楷体_GBK"/>
          <w:lang w:val="zh-CN"/>
        </w:rPr>
        <w:t>、询问、质疑、投诉和诚实信用</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_Toc26301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10</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_Toc7702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 xml:space="preserve">第三章  </w:t>
      </w:r>
      <w:r>
        <w:rPr>
          <w:rFonts w:hint="eastAsia" w:ascii="方正楷体_GBK" w:hAnsi="方正楷体_GBK" w:eastAsia="方正楷体_GBK" w:cs="方正楷体_GBK"/>
        </w:rPr>
        <w:t>项目需求</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_Toc7702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_Toc48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一、项目概况</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_Toc48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_Toc8806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二</w:t>
      </w:r>
      <w:r>
        <w:rPr>
          <w:rFonts w:hint="eastAsia" w:ascii="方正楷体_GBK" w:hAnsi="方正楷体_GBK" w:eastAsia="方正楷体_GBK" w:cs="方正楷体_GBK"/>
          <w:lang w:val="zh-CN"/>
        </w:rPr>
        <w:t>、供应商要求</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_Toc8806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_Toc32611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第四章  评审方法和评审标准</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_Toc32611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_Toc1535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一、评标方法与定标原则</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_Toc1535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_Toc8228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二、</w:t>
      </w:r>
      <w:r>
        <w:rPr>
          <w:rFonts w:hint="eastAsia" w:ascii="方正楷体_GBK" w:hAnsi="方正楷体_GBK" w:eastAsia="方正楷体_GBK" w:cs="方正楷体_GBK"/>
        </w:rPr>
        <w:t>成交标准</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_Toc8228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_Toc29622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第五章  磋商响应文件格式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_Toc29622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_Toc20268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一、磋商函</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_Toc20268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27</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_Toc17846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二、报价表</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_Toc17846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28</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_Toc25862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三、服务要求响应表</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_Toc25862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29</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_Toc25918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四、服务方案</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_Toc25918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30</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_Toc21836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五、企业资质</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_Toc21836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_Toc20851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六、合同条款及格式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_Toc20851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_Toc23738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七、</w:t>
      </w:r>
      <w:r>
        <w:rPr>
          <w:rFonts w:hint="eastAsia" w:ascii="方正楷体_GBK" w:hAnsi="方正楷体_GBK" w:eastAsia="方正楷体_GBK" w:cs="方正楷体_GBK"/>
        </w:rPr>
        <w:t>相关附表格式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_Toc23738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_Toc19874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附 件1：法人授权委托书</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_Toc19874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_Toc19684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bCs w:val="0"/>
          <w:kern w:val="2"/>
          <w:szCs w:val="21"/>
          <w:lang w:val="en-US" w:eastAsia="zh-CN" w:bidi="ar-SA"/>
        </w:rPr>
        <w:t>附 件2：具备履行合同所必需的设备和专业技术能力的书面声明</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_Toc19684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35</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_Toc31391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附 件</w:t>
      </w:r>
      <w:r>
        <w:rPr>
          <w:rFonts w:hint="eastAsia" w:ascii="方正楷体_GBK" w:hAnsi="方正楷体_GBK" w:eastAsia="方正楷体_GBK" w:cs="方正楷体_GBK"/>
          <w:lang w:val="en-US" w:eastAsia="zh-CN"/>
        </w:rPr>
        <w:t>3</w:t>
      </w:r>
      <w:r>
        <w:rPr>
          <w:rFonts w:hint="eastAsia" w:ascii="方正楷体_GBK" w:hAnsi="方正楷体_GBK" w:eastAsia="方正楷体_GBK" w:cs="方正楷体_GBK"/>
        </w:rPr>
        <w:t>：三年内无重大违纪声明</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_Toc31391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36</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_Toc19093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bCs w:val="0"/>
          <w:kern w:val="2"/>
          <w:szCs w:val="21"/>
          <w:lang w:val="en-US" w:eastAsia="zh-CN" w:bidi="ar-SA"/>
        </w:rPr>
        <w:t>附 件4：中小企业声明函格式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_Toc19093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37</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ind w:firstLine="0" w:firstLineChars="0"/>
        <w:jc w:val="center"/>
        <w:textAlignment w:val="auto"/>
        <w:outlineLvl w:val="2"/>
        <w:rPr>
          <w:rFonts w:ascii="楷体" w:hAnsi="楷体" w:eastAsia="楷体" w:cs="楷体"/>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720" w:num="1"/>
          <w:titlePg/>
          <w:docGrid w:type="lines" w:linePitch="312" w:charSpace="0"/>
        </w:sectPr>
      </w:pPr>
      <w:r>
        <w:rPr>
          <w:rFonts w:hint="eastAsia" w:ascii="方正仿宋_GBK" w:hAnsi="方正仿宋_GBK" w:eastAsia="方正仿宋_GBK" w:cs="方正仿宋_GBK"/>
          <w:szCs w:val="28"/>
        </w:rPr>
        <w:fldChar w:fldCharType="end"/>
      </w:r>
      <w:bookmarkStart w:id="6" w:name="_Toc10896"/>
      <w:bookmarkStart w:id="7" w:name="_Toc324237145"/>
      <w:bookmarkStart w:id="8" w:name="_Toc31882"/>
    </w:p>
    <w:p>
      <w:pPr>
        <w:pStyle w:val="3"/>
        <w:bidi w:val="0"/>
      </w:pPr>
      <w:bookmarkStart w:id="9" w:name="_Toc5406"/>
      <w:r>
        <w:rPr>
          <w:rFonts w:hint="eastAsia"/>
        </w:rPr>
        <w:t xml:space="preserve">第一章  </w:t>
      </w:r>
      <w:bookmarkEnd w:id="0"/>
      <w:bookmarkEnd w:id="6"/>
      <w:bookmarkEnd w:id="7"/>
      <w:bookmarkEnd w:id="8"/>
      <w:r>
        <w:rPr>
          <w:rFonts w:hint="eastAsia"/>
        </w:rPr>
        <w:t>采购邀请</w:t>
      </w:r>
      <w:bookmarkEnd w:id="9"/>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lang w:val="en-US" w:eastAsia="zh-CN"/>
        </w:rPr>
        <w:t>信息化建设与管理办公室</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r>
        <w:rPr>
          <w:rFonts w:hint="eastAsia" w:ascii="楷体" w:hAnsi="楷体" w:eastAsia="楷体" w:cs="楷体"/>
          <w:sz w:val="24"/>
          <w:szCs w:val="24"/>
        </w:rPr>
        <w:t>实施</w:t>
      </w:r>
      <w:r>
        <w:rPr>
          <w:rFonts w:hint="eastAsia" w:ascii="楷体" w:hAnsi="楷体" w:eastAsia="楷体" w:cs="楷体"/>
          <w:b/>
          <w:bCs/>
          <w:sz w:val="24"/>
          <w:szCs w:val="24"/>
        </w:rPr>
        <w:t>竞争性磋商</w:t>
      </w:r>
      <w:r>
        <w:rPr>
          <w:rFonts w:hint="eastAsia" w:ascii="楷体" w:hAnsi="楷体" w:eastAsia="楷体" w:cs="楷体"/>
          <w:sz w:val="24"/>
          <w:szCs w:val="24"/>
        </w:rPr>
        <w:t>采购，欢迎符合条商参加磋商。</w:t>
      </w:r>
    </w:p>
    <w:p>
      <w:pPr>
        <w:pStyle w:val="4"/>
        <w:bidi w:val="0"/>
        <w:rPr>
          <w:rFonts w:hint="eastAsia"/>
        </w:rPr>
      </w:pPr>
      <w:bookmarkStart w:id="10" w:name="_Toc27034"/>
      <w:r>
        <w:rPr>
          <w:rFonts w:hint="eastAsia"/>
        </w:rPr>
        <w:t>一、采购项目简要说明</w:t>
      </w:r>
      <w:bookmarkEnd w:id="10"/>
    </w:p>
    <w:tbl>
      <w:tblPr>
        <w:tblStyle w:val="12"/>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JY2020</w:t>
            </w:r>
            <w:r>
              <w:rPr>
                <w:rFonts w:hint="eastAsia" w:ascii="楷体" w:hAnsi="楷体" w:eastAsia="楷体" w:cs="楷体"/>
                <w:b/>
                <w:bCs/>
                <w:sz w:val="24"/>
                <w:szCs w:val="24"/>
                <w:lang w:val="en-US" w:eastAsia="zh-CN"/>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ascii="楷体" w:hAnsi="楷体" w:eastAsia="楷体" w:cs="楷体"/>
                <w:sz w:val="24"/>
                <w:szCs w:val="24"/>
              </w:rPr>
            </w:pPr>
            <w:r>
              <w:rPr>
                <w:rFonts w:hint="eastAsia" w:ascii="楷体" w:hAnsi="楷体" w:eastAsia="楷体" w:cs="楷体"/>
                <w:sz w:val="24"/>
                <w:szCs w:val="24"/>
              </w:rPr>
              <w:t>联系人：丁老师   电话：025-86115963</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numPr>
                <w:ilvl w:val="0"/>
                <w:numId w:val="2"/>
              </w:num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项目概况：</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南京交通职业技术学院拟对</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r>
              <w:rPr>
                <w:rFonts w:hint="eastAsia" w:ascii="楷体" w:hAnsi="楷体" w:eastAsia="楷体" w:cs="楷体"/>
                <w:sz w:val="24"/>
                <w:szCs w:val="24"/>
              </w:rPr>
              <w:t>实施竞争性磋商采购。由成交供应商按采购人要求进行</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服务。</w:t>
            </w:r>
          </w:p>
          <w:p>
            <w:p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2、项目预算：人民币</w:t>
            </w:r>
            <w:r>
              <w:rPr>
                <w:rFonts w:hint="eastAsia" w:ascii="楷体" w:hAnsi="楷体" w:eastAsia="楷体" w:cs="楷体"/>
                <w:b/>
                <w:bCs/>
                <w:sz w:val="24"/>
                <w:szCs w:val="24"/>
                <w:lang w:val="en-US" w:eastAsia="zh-CN"/>
              </w:rPr>
              <w:t>18.5</w:t>
            </w:r>
            <w:r>
              <w:rPr>
                <w:rFonts w:hint="eastAsia" w:ascii="楷体" w:hAnsi="楷体" w:eastAsia="楷体" w:cs="楷体"/>
                <w:b/>
                <w:bCs/>
                <w:sz w:val="24"/>
                <w:szCs w:val="24"/>
              </w:rPr>
              <w:t>万元整</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磋商小组进行综合评分后，按评审后得分由高到低顺序排列，根据综合评分后的排名顺序现场确定排名第一的供应商为成交供应商。如出现供应商弃标或出现依据法律法规应取消成交资格的情况，按照综合评分后的排名顺序依次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保证金</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保证金金额：</w:t>
            </w:r>
            <w:r>
              <w:rPr>
                <w:rFonts w:hint="eastAsia" w:ascii="楷体" w:hAnsi="楷体" w:eastAsia="楷体" w:cs="楷体"/>
                <w:b/>
                <w:bCs/>
                <w:sz w:val="24"/>
                <w:szCs w:val="24"/>
              </w:rPr>
              <w:t>人民币叁仟元整</w:t>
            </w:r>
          </w:p>
          <w:p>
            <w:pPr>
              <w:snapToGrid w:val="0"/>
              <w:rPr>
                <w:rFonts w:ascii="楷体" w:hAnsi="楷体" w:eastAsia="楷体" w:cs="楷体"/>
                <w:sz w:val="24"/>
                <w:szCs w:val="24"/>
              </w:rPr>
            </w:pPr>
            <w:r>
              <w:rPr>
                <w:rFonts w:hint="eastAsia" w:ascii="楷体" w:hAnsi="楷体" w:eastAsia="楷体" w:cs="楷体"/>
                <w:sz w:val="24"/>
                <w:szCs w:val="24"/>
              </w:rPr>
              <w:t>保证金形式：现金形式（信封封号，现场收取）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：2020年</w:t>
            </w:r>
            <w:r>
              <w:rPr>
                <w:rFonts w:hint="eastAsia" w:ascii="楷体" w:hAnsi="楷体" w:eastAsia="楷体" w:cs="楷体"/>
                <w:b/>
                <w:bCs/>
                <w:sz w:val="24"/>
                <w:szCs w:val="24"/>
                <w:lang w:val="en-US" w:eastAsia="zh-CN"/>
              </w:rPr>
              <w:t>8</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31</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下午2：00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正本份数：1份</w:t>
            </w:r>
          </w:p>
          <w:p>
            <w:pPr>
              <w:snapToGrid w:val="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w:t>
            </w:r>
            <w:r>
              <w:rPr>
                <w:rFonts w:hint="eastAsia" w:ascii="楷体" w:hAnsi="楷体" w:eastAsia="楷体" w:cs="楷体"/>
                <w:b/>
                <w:bCs/>
                <w:sz w:val="24"/>
                <w:szCs w:val="24"/>
              </w:rPr>
              <w:t>2020年</w:t>
            </w:r>
            <w:r>
              <w:rPr>
                <w:rFonts w:hint="eastAsia" w:ascii="楷体" w:hAnsi="楷体" w:eastAsia="楷体" w:cs="楷体"/>
                <w:b/>
                <w:bCs/>
                <w:sz w:val="24"/>
                <w:szCs w:val="24"/>
                <w:lang w:val="en-US" w:eastAsia="zh-CN"/>
              </w:rPr>
              <w:t>8</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28日</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前将确认</w:t>
            </w:r>
          </w:p>
          <w:p>
            <w:pPr>
              <w:spacing w:line="324" w:lineRule="auto"/>
              <w:rPr>
                <w:rFonts w:hint="eastAsia" w:ascii="楷体" w:hAnsi="楷体" w:eastAsia="楷体" w:cs="楷体"/>
                <w:sz w:val="24"/>
                <w:szCs w:val="24"/>
              </w:rPr>
            </w:pPr>
            <w:r>
              <w:rPr>
                <w:rFonts w:hint="eastAsia" w:ascii="楷体" w:hAnsi="楷体" w:eastAsia="楷体" w:cs="楷体"/>
                <w:sz w:val="24"/>
                <w:szCs w:val="24"/>
              </w:rPr>
              <w:t>发送至邮箱cgb@njitt.edu.cn，采购办不接受没有报名认</w:t>
            </w:r>
          </w:p>
          <w:p>
            <w:pPr>
              <w:spacing w:line="324" w:lineRule="auto"/>
              <w:ind w:left="720" w:hanging="720" w:hangingChars="300"/>
              <w:rPr>
                <w:rFonts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4"/>
        <w:bidi w:val="0"/>
        <w:rPr>
          <w:rFonts w:hint="eastAsia"/>
        </w:rPr>
      </w:pPr>
      <w:bookmarkStart w:id="11" w:name="_Toc10733"/>
      <w:r>
        <w:rPr>
          <w:rFonts w:hint="eastAsia"/>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2、磋商供应商具有良好的商业信誉和健全的财务会计制度，提供2019年度经审计的财务审计报告（至少包含资产负债表、利润表，成立不满一年不需提供）；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napToGrid w:val="0"/>
        <w:spacing w:line="360" w:lineRule="auto"/>
        <w:ind w:firstLine="420"/>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324237146"/>
      <w:bookmarkStart w:id="14" w:name="_Toc120614211"/>
      <w:bookmarkStart w:id="15" w:name="_Toc16747"/>
      <w:r>
        <w:rPr>
          <w:rFonts w:hint="eastAsia" w:ascii="楷体" w:hAnsi="楷体" w:eastAsia="楷体" w:cs="楷体"/>
          <w:sz w:val="24"/>
          <w:szCs w:val="24"/>
        </w:rPr>
        <w:t>无。</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20"/>
        <w:rPr>
          <w:rFonts w:hint="eastAsia" w:ascii="楷体" w:hAnsi="楷体" w:eastAsia="楷体" w:cs="楷体"/>
          <w:sz w:val="24"/>
          <w:szCs w:val="24"/>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r>
        <w:rPr>
          <w:rFonts w:hint="eastAsia" w:ascii="楷体" w:hAnsi="楷体" w:eastAsia="楷体" w:cs="楷体"/>
          <w:sz w:val="24"/>
          <w:szCs w:val="24"/>
        </w:rPr>
        <w:br w:type="textWrapping"/>
      </w:r>
      <w:r>
        <w:rPr>
          <w:rFonts w:hint="eastAsia" w:ascii="楷体" w:hAnsi="楷体" w:eastAsia="楷体" w:cs="楷体"/>
          <w:sz w:val="24"/>
          <w:szCs w:val="24"/>
        </w:rPr>
        <w:tab/>
      </w:r>
      <w:r>
        <w:rPr>
          <w:rFonts w:hint="eastAsia" w:ascii="楷体" w:hAnsi="楷体" w:eastAsia="楷体" w:cs="楷体"/>
          <w:sz w:val="24"/>
          <w:szCs w:val="24"/>
        </w:rPr>
        <w:t> 2、投标供应商被“信用中国”网站（</w:t>
      </w:r>
      <w:r>
        <w:rPr>
          <w:rFonts w:hint="eastAsia" w:ascii="楷体" w:hAnsi="楷体" w:eastAsia="楷体" w:cs="楷体"/>
          <w:sz w:val="24"/>
          <w:szCs w:val="24"/>
        </w:rPr>
        <w:drawing>
          <wp:inline distT="0" distB="0" distL="114300" distR="114300">
            <wp:extent cx="190500" cy="1428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4"/>
        <w:bidi w:val="0"/>
        <w:rPr>
          <w:rFonts w:hint="eastAsia" w:ascii="Arial" w:hAnsi="Arial"/>
          <w:b/>
        </w:rPr>
      </w:pPr>
      <w:bookmarkStart w:id="17" w:name="_Toc20365"/>
      <w:r>
        <w:rPr>
          <w:rFonts w:hint="eastAsia" w:ascii="Arial" w:hAnsi="Arial"/>
          <w:b/>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2020年</w:t>
      </w:r>
      <w:r>
        <w:rPr>
          <w:rFonts w:hint="eastAsia" w:ascii="楷体" w:hAnsi="楷体" w:eastAsia="楷体" w:cs="楷体"/>
          <w:b/>
          <w:bCs/>
          <w:sz w:val="24"/>
          <w:szCs w:val="24"/>
          <w:lang w:val="en-US" w:eastAsia="zh-CN"/>
        </w:rPr>
        <w:t>8</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28 日</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4"/>
        <w:bidi w:val="0"/>
        <w:rPr>
          <w:rFonts w:hint="eastAsia" w:ascii="Arial" w:hAnsi="Arial"/>
          <w:b/>
        </w:rPr>
      </w:pPr>
      <w:bookmarkStart w:id="18" w:name="_Toc2830"/>
      <w:r>
        <w:rPr>
          <w:rFonts w:hint="eastAsia" w:ascii="Arial" w:hAnsi="Arial"/>
          <w:b/>
        </w:rPr>
        <w:t>四、响应文件</w:t>
      </w:r>
      <w:bookmarkEnd w:id="18"/>
      <w:r>
        <w:rPr>
          <w:rFonts w:hint="eastAsia" w:ascii="Arial" w:hAnsi="Arial"/>
          <w:b/>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4、响应文件接收及开启时间：</w:t>
      </w:r>
      <w:r>
        <w:rPr>
          <w:rFonts w:hint="eastAsia" w:ascii="楷体" w:hAnsi="楷体" w:eastAsia="楷体" w:cs="楷体"/>
          <w:bCs/>
          <w:sz w:val="24"/>
          <w:lang w:eastAsia="zh-CN"/>
        </w:rPr>
        <w:t>接收</w:t>
      </w:r>
      <w:r>
        <w:rPr>
          <w:rFonts w:hint="eastAsia" w:ascii="楷体" w:hAnsi="楷体" w:eastAsia="楷体" w:cs="楷体"/>
          <w:b/>
          <w:bCs/>
          <w:sz w:val="24"/>
          <w:szCs w:val="24"/>
        </w:rPr>
        <w:t>2020年</w:t>
      </w:r>
      <w:r>
        <w:rPr>
          <w:rFonts w:hint="eastAsia" w:ascii="楷体" w:hAnsi="楷体" w:eastAsia="楷体" w:cs="楷体"/>
          <w:b/>
          <w:bCs/>
          <w:sz w:val="24"/>
          <w:szCs w:val="24"/>
          <w:lang w:val="en-US" w:eastAsia="zh-CN"/>
        </w:rPr>
        <w:t>8</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 xml:space="preserve"> 31 </w:t>
      </w:r>
      <w:r>
        <w:rPr>
          <w:rFonts w:hint="eastAsia" w:ascii="楷体" w:hAnsi="楷体" w:eastAsia="楷体" w:cs="楷体"/>
          <w:b/>
          <w:bCs/>
          <w:sz w:val="24"/>
          <w:szCs w:val="24"/>
        </w:rPr>
        <w:t>日</w:t>
      </w:r>
      <w:r>
        <w:rPr>
          <w:rFonts w:hint="eastAsia" w:ascii="楷体" w:hAnsi="楷体" w:eastAsia="楷体" w:cs="楷体"/>
          <w:b/>
          <w:bCs/>
          <w:sz w:val="28"/>
          <w:szCs w:val="28"/>
          <w:lang w:val="en-US" w:eastAsia="zh-CN"/>
        </w:rPr>
        <w:t>下</w:t>
      </w:r>
      <w:r>
        <w:rPr>
          <w:rFonts w:hint="eastAsia" w:ascii="楷体" w:hAnsi="楷体" w:eastAsia="楷体" w:cs="楷体"/>
          <w:b/>
          <w:bCs/>
          <w:sz w:val="24"/>
          <w:szCs w:val="24"/>
          <w:lang w:val="en-US" w:eastAsia="zh-CN"/>
        </w:rPr>
        <w:t>午2：00</w:t>
      </w:r>
      <w:r>
        <w:rPr>
          <w:rFonts w:hint="eastAsia" w:ascii="楷体" w:hAnsi="楷体" w:eastAsia="楷体" w:cs="楷体"/>
          <w:bCs/>
          <w:sz w:val="24"/>
        </w:rPr>
        <w:t xml:space="preserve"> </w:t>
      </w:r>
      <w:r>
        <w:rPr>
          <w:rFonts w:hint="eastAsia" w:ascii="楷体" w:hAnsi="楷体" w:eastAsia="楷体" w:cs="楷体"/>
          <w:bCs/>
          <w:sz w:val="24"/>
          <w:lang w:eastAsia="zh-CN"/>
        </w:rPr>
        <w:t>，开启：</w:t>
      </w:r>
      <w:r>
        <w:rPr>
          <w:rFonts w:hint="eastAsia" w:ascii="楷体" w:hAnsi="楷体" w:eastAsia="楷体" w:cs="楷体"/>
          <w:bCs/>
          <w:sz w:val="24"/>
          <w:lang w:val="en-US" w:eastAsia="zh-CN"/>
        </w:rPr>
        <w:t>2:30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4"/>
        <w:bidi w:val="0"/>
        <w:rPr>
          <w:rFonts w:hint="eastAsia" w:ascii="Arial" w:hAnsi="Arial"/>
          <w:b/>
        </w:rPr>
      </w:pPr>
      <w:bookmarkStart w:id="19" w:name="_Toc29400"/>
      <w:r>
        <w:rPr>
          <w:rFonts w:hint="eastAsia" w:ascii="Arial" w:hAnsi="Arial"/>
          <w:b/>
        </w:rPr>
        <w:t>五、磋商保证金</w:t>
      </w:r>
      <w:bookmarkEnd w:id="19"/>
    </w:p>
    <w:p>
      <w:pPr>
        <w:snapToGrid w:val="0"/>
        <w:spacing w:line="360" w:lineRule="auto"/>
        <w:ind w:firstLine="482" w:firstLineChars="200"/>
        <w:rPr>
          <w:rFonts w:hint="eastAsia" w:ascii="楷体" w:hAnsi="楷体" w:eastAsia="楷体" w:cs="楷体"/>
          <w:bCs/>
          <w:sz w:val="24"/>
        </w:rPr>
      </w:pPr>
      <w:r>
        <w:rPr>
          <w:rFonts w:hint="eastAsia" w:ascii="楷体" w:hAnsi="楷体" w:eastAsia="楷体" w:cs="楷体"/>
          <w:b/>
          <w:bCs w:val="0"/>
          <w:sz w:val="24"/>
        </w:rPr>
        <w:t>叁仟元</w:t>
      </w:r>
      <w:r>
        <w:rPr>
          <w:rFonts w:hint="eastAsia" w:ascii="楷体" w:hAnsi="楷体" w:eastAsia="楷体" w:cs="楷体"/>
          <w:bCs/>
          <w:sz w:val="24"/>
        </w:rPr>
        <w:t>圆整(现金信封密封好，现场收取)， 成交后转为履约保证金。</w:t>
      </w:r>
    </w:p>
    <w:p>
      <w:pPr>
        <w:pStyle w:val="4"/>
        <w:bidi w:val="0"/>
        <w:rPr>
          <w:rFonts w:hint="eastAsia" w:ascii="Arial" w:hAnsi="Arial"/>
          <w:b/>
        </w:rPr>
      </w:pPr>
      <w:bookmarkStart w:id="20" w:name="_Toc20037"/>
      <w:r>
        <w:rPr>
          <w:rFonts w:hint="eastAsia" w:ascii="Arial" w:hAnsi="Arial"/>
          <w:b/>
        </w:rPr>
        <w:t>六、采购人联系方式</w:t>
      </w:r>
      <w:bookmarkEnd w:id="20"/>
    </w:p>
    <w:p>
      <w:pPr>
        <w:snapToGrid w:val="0"/>
        <w:spacing w:line="360" w:lineRule="auto"/>
        <w:ind w:firstLine="480" w:firstLineChars="200"/>
        <w:jc w:val="left"/>
        <w:rPr>
          <w:rFonts w:hint="default" w:ascii="楷体" w:hAnsi="楷体" w:eastAsia="楷体" w:cs="楷体"/>
          <w:bCs/>
          <w:sz w:val="24"/>
          <w:lang w:val="en-US" w:eastAsia="zh-CN"/>
        </w:rPr>
      </w:pPr>
      <w:r>
        <w:rPr>
          <w:rFonts w:hint="eastAsia" w:ascii="楷体" w:hAnsi="楷体" w:eastAsia="楷体" w:cs="楷体"/>
          <w:bCs/>
          <w:sz w:val="24"/>
          <w:lang w:val="en-US" w:eastAsia="zh-CN"/>
        </w:rPr>
        <w:t>信息化建设与管理办公室</w:t>
      </w:r>
      <w:r>
        <w:rPr>
          <w:rFonts w:ascii="楷体" w:hAnsi="楷体" w:eastAsia="楷体" w:cs="楷体"/>
          <w:bCs/>
          <w:sz w:val="24"/>
        </w:rPr>
        <w:t>：</w:t>
      </w:r>
      <w:r>
        <w:rPr>
          <w:rFonts w:hint="eastAsia" w:ascii="楷体" w:hAnsi="楷体" w:eastAsia="楷体" w:cs="楷体"/>
          <w:bCs/>
          <w:sz w:val="24"/>
          <w:lang w:val="en-US" w:eastAsia="zh-CN"/>
        </w:rPr>
        <w:t>陈</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86115735</w:t>
      </w:r>
      <w:r>
        <w:rPr>
          <w:rFonts w:hint="eastAsia" w:ascii="楷体" w:hAnsi="楷体" w:eastAsia="楷体" w:cs="楷体"/>
          <w:bCs/>
          <w:sz w:val="24"/>
          <w:lang w:val="en-US" w:eastAsia="zh-CN"/>
        </w:rPr>
        <w:t xml:space="preserve">/18626440077 </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采购办：丁</w:t>
      </w:r>
      <w:r>
        <w:rPr>
          <w:rFonts w:ascii="楷体" w:hAnsi="楷体" w:eastAsia="楷体" w:cs="楷体"/>
          <w:bCs/>
          <w:sz w:val="24"/>
        </w:rPr>
        <w:t>老师</w:t>
      </w:r>
      <w:r>
        <w:rPr>
          <w:rFonts w:hint="eastAsia" w:ascii="楷体" w:hAnsi="楷体" w:eastAsia="楷体" w:cs="楷体"/>
          <w:bCs/>
          <w:sz w:val="24"/>
        </w:rPr>
        <w:t xml:space="preserve">              </w:t>
      </w:r>
      <w:r>
        <w:rPr>
          <w:rFonts w:hint="eastAsia" w:ascii="楷体" w:hAnsi="楷体" w:eastAsia="楷体" w:cs="楷体"/>
          <w:bCs/>
          <w:sz w:val="24"/>
          <w:lang w:val="en-US" w:eastAsia="zh-CN"/>
        </w:rPr>
        <w:t xml:space="preserve">    </w:t>
      </w:r>
      <w:r>
        <w:rPr>
          <w:rFonts w:ascii="楷体" w:hAnsi="楷体" w:eastAsia="楷体" w:cs="楷体"/>
          <w:bCs/>
          <w:sz w:val="24"/>
        </w:rPr>
        <w:t>联系电话： 025-86115</w:t>
      </w:r>
      <w:r>
        <w:rPr>
          <w:rFonts w:hint="eastAsia" w:ascii="楷体" w:hAnsi="楷体" w:eastAsia="楷体" w:cs="楷体"/>
          <w:bCs/>
          <w:sz w:val="24"/>
        </w:rPr>
        <w:t>963</w:t>
      </w:r>
      <w:r>
        <w:rPr>
          <w:rFonts w:hint="eastAsia" w:ascii="楷体" w:hAnsi="楷体" w:eastAsia="楷体" w:cs="楷体"/>
          <w:bCs/>
          <w:sz w:val="24"/>
          <w:lang w:val="en-US" w:eastAsia="zh-CN"/>
        </w:rPr>
        <w:t>/18115195630</w:t>
      </w:r>
    </w:p>
    <w:bookmarkEnd w:id="1"/>
    <w:bookmarkEnd w:id="2"/>
    <w:bookmarkEnd w:id="3"/>
    <w:bookmarkEnd w:id="4"/>
    <w:bookmarkEnd w:id="5"/>
    <w:bookmarkEnd w:id="13"/>
    <w:bookmarkEnd w:id="14"/>
    <w:bookmarkEnd w:id="15"/>
    <w:p>
      <w:pPr>
        <w:snapToGrid w:val="0"/>
        <w:spacing w:line="360" w:lineRule="auto"/>
        <w:ind w:firstLine="480" w:firstLineChars="200"/>
        <w:rPr>
          <w:rFonts w:hint="eastAsia" w:ascii="楷体" w:hAnsi="楷体" w:eastAsia="楷体" w:cs="楷体"/>
          <w:bCs/>
          <w:sz w:val="24"/>
        </w:rPr>
      </w:pPr>
      <w:bookmarkStart w:id="21" w:name="_Toc18049"/>
      <w:bookmarkStart w:id="22" w:name="_Toc3756"/>
      <w:bookmarkStart w:id="23" w:name="_Toc513029209"/>
      <w:bookmarkStart w:id="24" w:name="_Toc14577347"/>
      <w:bookmarkStart w:id="25" w:name="_Toc61149549"/>
      <w:bookmarkStart w:id="26" w:name="_Toc513029242"/>
      <w:bookmarkStart w:id="27" w:name="_Toc16938558"/>
      <w:bookmarkStart w:id="28" w:name="_Toc479757207"/>
      <w:bookmarkStart w:id="29" w:name="_Toc120614221"/>
      <w:bookmarkStart w:id="30" w:name="_Toc20823314"/>
      <w:bookmarkStart w:id="31" w:name="_Toc324237147"/>
    </w:p>
    <w:p>
      <w:pPr>
        <w:pStyle w:val="23"/>
        <w:spacing w:after="319"/>
        <w:rPr>
          <w:rFonts w:hint="eastAsia" w:ascii="楷体" w:hAnsi="楷体" w:eastAsia="楷体" w:cs="楷体"/>
          <w:sz w:val="40"/>
        </w:rPr>
      </w:pPr>
    </w:p>
    <w:p>
      <w:pPr>
        <w:pStyle w:val="23"/>
        <w:spacing w:after="319"/>
        <w:rPr>
          <w:rFonts w:hint="eastAsia" w:ascii="楷体" w:hAnsi="楷体" w:eastAsia="楷体" w:cs="楷体"/>
          <w:sz w:val="40"/>
        </w:rPr>
      </w:pPr>
    </w:p>
    <w:p>
      <w:pPr>
        <w:rPr>
          <w:rFonts w:hint="eastAsia" w:ascii="楷体" w:hAnsi="楷体" w:eastAsia="楷体" w:cs="楷体"/>
          <w:sz w:val="40"/>
        </w:rPr>
      </w:pPr>
    </w:p>
    <w:p>
      <w:pPr>
        <w:pStyle w:val="11"/>
        <w:rPr>
          <w:rFonts w:hint="eastAsia"/>
        </w:rPr>
      </w:pPr>
    </w:p>
    <w:p>
      <w:pPr>
        <w:pStyle w:val="23"/>
        <w:spacing w:after="319"/>
        <w:rPr>
          <w:rFonts w:hint="eastAsia" w:ascii="楷体" w:hAnsi="楷体" w:eastAsia="楷体" w:cs="楷体"/>
          <w:sz w:val="40"/>
        </w:rPr>
      </w:pPr>
    </w:p>
    <w:p>
      <w:pPr>
        <w:pStyle w:val="3"/>
        <w:bidi w:val="0"/>
        <w:rPr>
          <w:rFonts w:hint="eastAsia"/>
        </w:rPr>
      </w:pPr>
      <w:bookmarkStart w:id="32" w:name="_Toc7825"/>
      <w:r>
        <w:rPr>
          <w:rFonts w:hint="eastAsia"/>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bookmarkEnd w:id="23"/>
    <w:bookmarkEnd w:id="24"/>
    <w:bookmarkEnd w:id="25"/>
    <w:p>
      <w:pPr>
        <w:pStyle w:val="4"/>
        <w:bidi w:val="0"/>
        <w:rPr>
          <w:rFonts w:hint="eastAsia" w:ascii="Arial" w:hAnsi="Arial"/>
          <w:b/>
          <w:lang w:val="zh-CN"/>
        </w:rPr>
      </w:pPr>
      <w:bookmarkStart w:id="33" w:name="_Toc29990"/>
      <w:bookmarkStart w:id="34" w:name="_Toc20823309"/>
      <w:bookmarkStart w:id="35" w:name="_Toc513029237"/>
      <w:bookmarkStart w:id="36" w:name="_Toc16938553"/>
      <w:bookmarkStart w:id="37" w:name="_Toc6739"/>
      <w:bookmarkStart w:id="38" w:name="_Toc16499"/>
      <w:r>
        <w:rPr>
          <w:rFonts w:hint="eastAsia" w:ascii="Arial" w:hAnsi="Arial"/>
          <w:b/>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4"/>
        <w:bidi w:val="0"/>
        <w:rPr>
          <w:rFonts w:hint="eastAsia" w:ascii="Arial" w:hAnsi="Arial"/>
          <w:b/>
          <w:lang w:val="zh-CN"/>
        </w:rPr>
      </w:pPr>
      <w:bookmarkStart w:id="41" w:name="_Toc3435"/>
      <w:r>
        <w:rPr>
          <w:rFonts w:hint="eastAsia" w:ascii="Arial" w:hAnsi="Arial"/>
          <w:b/>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4"/>
        <w:bidi w:val="0"/>
        <w:rPr>
          <w:rFonts w:hint="eastAsia" w:ascii="Arial" w:hAnsi="Arial"/>
          <w:b/>
          <w:lang w:val="zh-CN"/>
        </w:rPr>
      </w:pPr>
      <w:bookmarkStart w:id="42" w:name="_Toc22852"/>
      <w:bookmarkStart w:id="43" w:name="_Toc487210477"/>
      <w:r>
        <w:rPr>
          <w:rFonts w:hint="eastAsia" w:ascii="Arial" w:hAnsi="Arial"/>
          <w:b/>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4"/>
        <w:bidi w:val="0"/>
        <w:rPr>
          <w:rFonts w:hint="eastAsia" w:ascii="Arial" w:hAnsi="Arial"/>
          <w:b/>
          <w:lang w:val="zh-CN"/>
        </w:rPr>
      </w:pPr>
      <w:bookmarkStart w:id="44" w:name="_Toc15791"/>
      <w:r>
        <w:rPr>
          <w:rFonts w:hint="eastAsia" w:ascii="Arial" w:hAnsi="Arial"/>
          <w:b/>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4"/>
        <w:bidi w:val="0"/>
        <w:rPr>
          <w:rFonts w:hint="eastAsia" w:ascii="Arial" w:hAnsi="Arial"/>
          <w:b/>
          <w:lang w:val="zh-CN"/>
        </w:rPr>
      </w:pPr>
      <w:bookmarkStart w:id="50" w:name="_Toc487210483"/>
      <w:bookmarkStart w:id="51" w:name="_Toc26301"/>
      <w:r>
        <w:rPr>
          <w:rFonts w:hint="eastAsia" w:ascii="Arial" w:hAnsi="Arial"/>
          <w:b/>
        </w:rPr>
        <w:t>五</w:t>
      </w:r>
      <w:r>
        <w:rPr>
          <w:rFonts w:hint="eastAsia" w:ascii="Arial" w:hAnsi="Arial"/>
          <w:b/>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23"/>
        <w:spacing w:after="319"/>
        <w:rPr>
          <w:rFonts w:hint="eastAsia" w:ascii="楷体" w:hAnsi="楷体" w:eastAsia="楷体" w:cs="楷体"/>
          <w:sz w:val="40"/>
        </w:rPr>
      </w:pPr>
    </w:p>
    <w:p>
      <w:pPr>
        <w:pStyle w:val="23"/>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3"/>
        <w:bidi w:val="0"/>
      </w:pPr>
      <w:bookmarkStart w:id="52" w:name="_Toc324237148"/>
      <w:bookmarkStart w:id="53" w:name="_Toc32263"/>
      <w:bookmarkStart w:id="54" w:name="_Toc49090575"/>
      <w:bookmarkStart w:id="55" w:name="_Toc120614281"/>
      <w:bookmarkStart w:id="56" w:name="_Toc26554093"/>
      <w:bookmarkStart w:id="57" w:name="_Toc462564139"/>
      <w:bookmarkStart w:id="58" w:name="_Toc479757211"/>
      <w:r>
        <w:rPr>
          <w:rFonts w:hint="eastAsia"/>
        </w:rPr>
        <w:t xml:space="preserve"> </w:t>
      </w:r>
      <w:bookmarkStart w:id="59" w:name="_Toc7702"/>
      <w:r>
        <w:rPr>
          <w:rFonts w:hint="eastAsia"/>
          <w:lang w:val="en-US" w:eastAsia="zh-CN"/>
        </w:rPr>
        <w:t xml:space="preserve">第三章  </w:t>
      </w:r>
      <w:r>
        <w:rPr>
          <w:rFonts w:hint="eastAsia"/>
        </w:rPr>
        <w:t>项目需求</w:t>
      </w:r>
      <w:bookmarkEnd w:id="52"/>
      <w:bookmarkEnd w:id="53"/>
      <w:bookmarkEnd w:id="59"/>
      <w:bookmarkStart w:id="60" w:name="_Toc324237156"/>
      <w:bookmarkStart w:id="61" w:name="_Toc18960"/>
    </w:p>
    <w:p>
      <w:pPr>
        <w:pStyle w:val="4"/>
        <w:bidi w:val="0"/>
        <w:rPr>
          <w:rFonts w:hint="eastAsia"/>
          <w:lang w:val="zh-CN"/>
        </w:rPr>
      </w:pPr>
      <w:bookmarkStart w:id="62" w:name="_Toc48"/>
      <w:r>
        <w:rPr>
          <w:rFonts w:hint="eastAsia"/>
          <w:lang w:val="zh-CN"/>
        </w:rPr>
        <w:t>一、项目概况</w:t>
      </w:r>
      <w:bookmarkEnd w:id="62"/>
    </w:p>
    <w:p>
      <w:pPr>
        <w:snapToGrid w:val="0"/>
        <w:spacing w:line="360" w:lineRule="auto"/>
        <w:ind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南京交院职业技术学院全光网络施工改造工程，项目地址为位于</w:t>
      </w:r>
      <w:r>
        <w:rPr>
          <w:rFonts w:hint="eastAsia" w:ascii="楷体" w:hAnsi="楷体" w:eastAsia="楷体" w:cs="楷体"/>
          <w:bCs/>
          <w:kern w:val="2"/>
          <w:sz w:val="24"/>
          <w:szCs w:val="21"/>
          <w:lang w:val="zh-CN" w:eastAsia="zh-CN" w:bidi="ar-SA"/>
        </w:rPr>
        <w:fldChar w:fldCharType="begin"/>
      </w:r>
      <w:r>
        <w:rPr>
          <w:rFonts w:hint="eastAsia" w:ascii="楷体" w:hAnsi="楷体" w:eastAsia="楷体" w:cs="楷体"/>
          <w:bCs/>
          <w:kern w:val="2"/>
          <w:sz w:val="24"/>
          <w:szCs w:val="21"/>
          <w:lang w:val="zh-CN" w:eastAsia="zh-CN" w:bidi="ar-SA"/>
        </w:rPr>
        <w:instrText xml:space="preserve"> HYPERLINK "https://baike.sogou.com/lemma/ShowInnerLink.htm?lemmaId=53757&amp;ss_c=ssc.citiao.link" \t "https://baike.sogou.com/_blank" </w:instrText>
      </w:r>
      <w:r>
        <w:rPr>
          <w:rFonts w:hint="eastAsia" w:ascii="楷体" w:hAnsi="楷体" w:eastAsia="楷体" w:cs="楷体"/>
          <w:bCs/>
          <w:kern w:val="2"/>
          <w:sz w:val="24"/>
          <w:szCs w:val="21"/>
          <w:lang w:val="zh-CN" w:eastAsia="zh-CN" w:bidi="ar-SA"/>
        </w:rPr>
        <w:fldChar w:fldCharType="separate"/>
      </w:r>
      <w:r>
        <w:rPr>
          <w:rFonts w:hint="eastAsia" w:ascii="楷体" w:hAnsi="楷体" w:eastAsia="楷体" w:cs="楷体"/>
          <w:bCs/>
          <w:kern w:val="2"/>
          <w:sz w:val="24"/>
          <w:szCs w:val="21"/>
          <w:lang w:val="zh-CN" w:eastAsia="zh-CN" w:bidi="ar-SA"/>
        </w:rPr>
        <w:fldChar w:fldCharType="end"/>
      </w:r>
      <w:r>
        <w:rPr>
          <w:rFonts w:hint="eastAsia" w:ascii="楷体" w:hAnsi="楷体" w:eastAsia="楷体" w:cs="楷体"/>
          <w:bCs/>
          <w:kern w:val="2"/>
          <w:sz w:val="24"/>
          <w:szCs w:val="21"/>
          <w:lang w:val="zh-CN" w:eastAsia="zh-CN" w:bidi="ar-SA"/>
        </w:rPr>
        <w:fldChar w:fldCharType="begin"/>
      </w:r>
      <w:r>
        <w:rPr>
          <w:rFonts w:hint="eastAsia" w:ascii="楷体" w:hAnsi="楷体" w:eastAsia="楷体" w:cs="楷体"/>
          <w:bCs/>
          <w:kern w:val="2"/>
          <w:sz w:val="24"/>
          <w:szCs w:val="21"/>
          <w:lang w:val="zh-CN" w:eastAsia="zh-CN" w:bidi="ar-SA"/>
        </w:rPr>
        <w:instrText xml:space="preserve"> HYPERLINK "https://baike.sogou.com/lemma/ShowInnerLink.htm?lemmaId=634199&amp;ss_c=ssc.citiao.link" \t "https://baike.sogou.com/_blank" </w:instrText>
      </w:r>
      <w:r>
        <w:rPr>
          <w:rFonts w:hint="eastAsia" w:ascii="楷体" w:hAnsi="楷体" w:eastAsia="楷体" w:cs="楷体"/>
          <w:bCs/>
          <w:kern w:val="2"/>
          <w:sz w:val="24"/>
          <w:szCs w:val="21"/>
          <w:lang w:val="zh-CN" w:eastAsia="zh-CN" w:bidi="ar-SA"/>
        </w:rPr>
        <w:fldChar w:fldCharType="separate"/>
      </w:r>
      <w:r>
        <w:rPr>
          <w:rFonts w:hint="eastAsia" w:ascii="楷体" w:hAnsi="楷体" w:eastAsia="楷体" w:cs="楷体"/>
          <w:bCs/>
          <w:kern w:val="2"/>
          <w:sz w:val="24"/>
          <w:szCs w:val="21"/>
          <w:lang w:val="zh-CN" w:eastAsia="zh-CN" w:bidi="ar-SA"/>
        </w:rPr>
        <w:t>江宁大学城</w:t>
      </w:r>
      <w:r>
        <w:rPr>
          <w:rFonts w:hint="eastAsia" w:ascii="楷体" w:hAnsi="楷体" w:eastAsia="楷体" w:cs="楷体"/>
          <w:bCs/>
          <w:kern w:val="2"/>
          <w:sz w:val="24"/>
          <w:szCs w:val="21"/>
          <w:lang w:val="zh-CN" w:eastAsia="zh-CN" w:bidi="ar-SA"/>
        </w:rPr>
        <w:fldChar w:fldCharType="end"/>
      </w:r>
      <w:r>
        <w:rPr>
          <w:rFonts w:hint="eastAsia" w:ascii="楷体" w:hAnsi="楷体" w:eastAsia="楷体" w:cs="楷体"/>
          <w:bCs/>
          <w:kern w:val="2"/>
          <w:sz w:val="24"/>
          <w:szCs w:val="21"/>
          <w:lang w:val="zh-CN" w:eastAsia="zh-CN" w:bidi="ar-SA"/>
        </w:rPr>
        <w:t>龙眠大道629号，为学院2020年度工程项目实施计划，拟对全院进行全光网络施工，工程造价约1500万元。本招标</w:t>
      </w:r>
      <w:r>
        <w:rPr>
          <w:rFonts w:hint="eastAsia" w:ascii="楷体" w:hAnsi="楷体" w:eastAsia="楷体" w:cs="楷体"/>
          <w:bCs/>
          <w:kern w:val="2"/>
          <w:sz w:val="24"/>
          <w:szCs w:val="21"/>
          <w:lang w:val="en-US" w:eastAsia="zh-CN" w:bidi="ar-SA"/>
        </w:rPr>
        <w:t>是</w:t>
      </w:r>
      <w:r>
        <w:rPr>
          <w:rFonts w:hint="eastAsia" w:ascii="楷体" w:hAnsi="楷体" w:eastAsia="楷体" w:cs="楷体"/>
          <w:bCs/>
          <w:kern w:val="2"/>
          <w:sz w:val="24"/>
          <w:szCs w:val="21"/>
          <w:lang w:val="zh-CN" w:eastAsia="zh-CN" w:bidi="ar-SA"/>
        </w:rPr>
        <w:t>全院进行全光网络施工</w:t>
      </w:r>
      <w:r>
        <w:rPr>
          <w:rFonts w:hint="eastAsia" w:ascii="楷体" w:hAnsi="楷体" w:eastAsia="楷体" w:cs="楷体"/>
          <w:bCs/>
          <w:kern w:val="2"/>
          <w:sz w:val="24"/>
          <w:szCs w:val="21"/>
          <w:lang w:val="en-US" w:eastAsia="zh-CN" w:bidi="ar-SA"/>
        </w:rPr>
        <w:t>的</w:t>
      </w:r>
      <w:r>
        <w:rPr>
          <w:rFonts w:hint="eastAsia" w:ascii="楷体" w:hAnsi="楷体" w:eastAsia="楷体" w:cs="楷体"/>
          <w:bCs/>
          <w:kern w:val="2"/>
          <w:sz w:val="24"/>
          <w:szCs w:val="21"/>
          <w:lang w:val="zh-CN" w:eastAsia="zh-CN" w:bidi="ar-SA"/>
        </w:rPr>
        <w:t>网络建设监理项目，项目总预算</w:t>
      </w:r>
      <w:r>
        <w:rPr>
          <w:rFonts w:hint="eastAsia" w:ascii="楷体" w:hAnsi="楷体" w:eastAsia="楷体" w:cs="楷体"/>
          <w:bCs/>
          <w:kern w:val="2"/>
          <w:sz w:val="24"/>
          <w:szCs w:val="21"/>
          <w:lang w:val="en-US" w:eastAsia="zh-CN" w:bidi="ar-SA"/>
        </w:rPr>
        <w:t>18.5</w:t>
      </w:r>
      <w:r>
        <w:rPr>
          <w:rFonts w:hint="eastAsia" w:ascii="楷体" w:hAnsi="楷体" w:eastAsia="楷体" w:cs="楷体"/>
          <w:bCs/>
          <w:kern w:val="2"/>
          <w:sz w:val="24"/>
          <w:szCs w:val="21"/>
          <w:lang w:val="zh-CN" w:eastAsia="zh-CN" w:bidi="ar-SA"/>
        </w:rPr>
        <w:t>万元。</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具体内容如下：</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en-US" w:eastAsia="zh-CN" w:bidi="ar-SA"/>
        </w:rPr>
        <w:t>(</w:t>
      </w:r>
      <w:r>
        <w:rPr>
          <w:rFonts w:hint="eastAsia" w:ascii="楷体" w:hAnsi="楷体" w:eastAsia="楷体" w:cs="楷体"/>
          <w:b/>
          <w:bCs w:val="0"/>
          <w:kern w:val="2"/>
          <w:sz w:val="24"/>
          <w:szCs w:val="21"/>
          <w:lang w:val="zh-CN" w:eastAsia="zh-CN" w:bidi="ar-SA"/>
        </w:rPr>
        <w:t>一</w:t>
      </w:r>
      <w:r>
        <w:rPr>
          <w:rFonts w:hint="eastAsia" w:ascii="楷体" w:hAnsi="楷体" w:eastAsia="楷体" w:cs="楷体"/>
          <w:b/>
          <w:bCs w:val="0"/>
          <w:kern w:val="2"/>
          <w:sz w:val="24"/>
          <w:szCs w:val="21"/>
          <w:lang w:val="en-US" w:eastAsia="zh-CN" w:bidi="ar-SA"/>
        </w:rPr>
        <w:t>)</w:t>
      </w:r>
      <w:r>
        <w:rPr>
          <w:rFonts w:hint="eastAsia" w:ascii="楷体" w:hAnsi="楷体" w:eastAsia="楷体" w:cs="楷体"/>
          <w:b/>
          <w:bCs w:val="0"/>
          <w:kern w:val="2"/>
          <w:sz w:val="24"/>
          <w:szCs w:val="21"/>
          <w:lang w:val="zh-CN" w:eastAsia="zh-CN" w:bidi="ar-SA"/>
        </w:rPr>
        <w:t>食堂、学生公寓区</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1.主要施工范围及组网架构：</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本次对校区内行政楼等楼宇进行光网改造，采用10G PON方式进行建设，在图书馆5楼中心机房部署一套OLT设备，OLT设备上联至学院校园网。采用OLT+ONU\ONT二级组网方式，保持架构可扩展。根据不同场景的需要，无线网使用放装AP、高密AP和室外AP，AP直接连入ONU\ONT。部署一套网管系统，对所有的PON设备和AP设备分别或统一进行集中管理和维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2.光缆建设需求：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光缆的建设采用中心机房-楼宇，一段式设计。校区生活区域共计16栋楼宇布放光缆，根据需求集中设立一个汇聚节点，汇聚节点新敷设144芯光缆到中心机房，汇聚节点敷设12芯光缆至楼栋。</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本项目改造楼栋从弱电间新敷设2芯光缆至接入终端（食堂ONU/宿舍走廊ONU）。具体方案为：从图书馆5楼中心机房新放2条144芯光缆（物理双路由）覆盖学生公寓A南、A北、B南、B北、C南、C北、D南、D北、E南、E北、F南、F北、J南、J北、I，通过分支至每栋楼汇聚节点12芯成端。</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3.改造建设主要工作说明：</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施工改造范围内所有线路需按院方要求做好标签标识，提供完整的工程建设资料，便于后期维护。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学生宿舍：从一楼弱电间新放2芯铠装光缆至每层弱电间分光器，采用1：8分光方式，每层走廊新设4个挂装信息箱，信息箱内放置8口ONU，电源线从楼层弱电间布放线槽至信息箱内，信息箱内增加5孔插座，每个宿舍房间新增1个放装式4口AP，从AP布放线槽走网线至室内4个网络信息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食堂用餐区：从弱电间新房2芯光缆，采用1：8分光方式，每个用餐区放置1个挂装信息箱，信息箱内放置8口ONU，电源线从楼层弱电间布放线槽至信息箱内，信息箱内增加5孔插座。每个用餐区放置4个放装式高密AP。</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（3）食堂办公区：从弱电间新放2芯光缆，采用1：8分光方式，房间内新增信息箱（门后离地1.5米），新增8口ONU及放装式AP，电源线从墙体插座布放线槽至信息箱内，信息箱内增加空气开关、插排。</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（二）办公、教学区</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1.主要施工范围及组网架构：</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本次对校区内行政楼等楼宇进行光网改造，采用10G PON方式进行建设，在图书馆5楼中心机房部署一套OLT设备，OLT设备上联至学院校园网。采用OLT+ONU\ONT二级组网方式，保持架构可扩展。根据不同场景的需要，无线网使用放装AP和高密AP，AP直接连入ONU\ONT。部署一套网管系统，对所有的PON设备和AP设备分别或统一进行集中管理和维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2.光缆建设需求：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光缆的建设采用中心机房-楼宇，一段式设计。校区办公区域共计10栋楼宇布放光缆，根据需求每栋楼集中设立一个汇聚节点，汇聚节点新敷设24芯光缆到中心机房。</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本项目改造楼栋从弱电间新敷设6芯光缆至接入终端（教室、办公室）。从图书馆5楼中心机房新放1条24芯光缆至行政楼3楼机房，新放1条24芯光缆至图书馆1楼机房，新放1条96芯光缆覆盖致远楼、明志楼、修远楼、广宇楼，通过分支至每栋楼汇聚节点24芯成端，新放1条96芯光缆覆盖宏博楼、齐贤楼、明德楼、体育馆，通过分支至每栋楼汇聚节点24芯成端。</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3.改造建设主要工作说明：</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所有线路需按甲方要求做好标签标识，提供完整的工程建设资料，便于后期维护。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（1）教室：从弱电间新放4芯光缆，采用1：32分光方式，房间内新增信息箱（门后离地1.5米），新增8口ONU及放装式AP，电源线从墙体插座布放线槽至信息箱内，信息箱内增加空气开关、插排。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（2）办公室：从弱电间新放4芯光缆，采用1：32分光方式，房间内新增信息箱，（门后离地1.5米），新增4口ONU及放装式AP，电源线从墙体插座布放线槽至信息箱内，信息箱内增加空气开关、插排。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（3）会议室：从弱电间新放4芯光缆，采用1：32分光方式，房间内新增信息箱（门后离地1.5米），新增8口ONU及放装式AP，电源线从墙体插座布放线槽至信息箱内，信息箱内增加空气开关、插排。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（4）实验室及车间：从弱电间新放4芯光缆，采用1：32分光方式，房间内新增信息箱（门后离地1.5米），新增8口ONU及放装式AP，电源线从墙体插座布放线槽至信息箱内，信息箱内增加空气开关、插排。</w:t>
      </w:r>
    </w:p>
    <w:p>
      <w:pPr>
        <w:pStyle w:val="4"/>
        <w:bidi w:val="0"/>
        <w:rPr>
          <w:rFonts w:hint="eastAsia" w:ascii="Arial" w:hAnsi="Arial"/>
          <w:b/>
          <w:lang w:val="en-US" w:eastAsia="zh-CN"/>
        </w:rPr>
      </w:pPr>
      <w:bookmarkStart w:id="63" w:name="_Toc8806"/>
      <w:r>
        <w:rPr>
          <w:rFonts w:hint="eastAsia" w:ascii="Arial" w:hAnsi="Arial"/>
          <w:b/>
          <w:lang w:val="en-US" w:eastAsia="zh-CN"/>
        </w:rPr>
        <w:t>二、</w:t>
      </w:r>
      <w:r>
        <w:rPr>
          <w:rFonts w:hint="eastAsia" w:ascii="Arial" w:hAnsi="Arial"/>
          <w:b/>
          <w:lang w:val="zh-CN"/>
        </w:rPr>
        <w:t>供应商要求</w:t>
      </w:r>
      <w:bookmarkEnd w:id="63"/>
    </w:p>
    <w:p>
      <w:pPr>
        <w:widowControl w:val="0"/>
        <w:autoSpaceDE w:val="0"/>
        <w:autoSpaceDN w:val="0"/>
        <w:snapToGrid w:val="0"/>
        <w:spacing w:line="360" w:lineRule="auto"/>
        <w:ind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w:t>
      </w:r>
      <w:r>
        <w:rPr>
          <w:rFonts w:hint="eastAsia" w:ascii="楷体" w:hAnsi="楷体" w:eastAsia="楷体" w:cs="楷体"/>
          <w:b/>
          <w:bCs w:val="0"/>
          <w:kern w:val="2"/>
          <w:sz w:val="24"/>
          <w:szCs w:val="21"/>
          <w:lang w:val="en-US" w:eastAsia="zh-CN" w:bidi="ar-SA"/>
        </w:rPr>
        <w:t>一</w:t>
      </w:r>
      <w:r>
        <w:rPr>
          <w:rFonts w:hint="eastAsia" w:ascii="楷体" w:hAnsi="楷体" w:eastAsia="楷体" w:cs="楷体"/>
          <w:b/>
          <w:bCs w:val="0"/>
          <w:kern w:val="2"/>
          <w:sz w:val="24"/>
          <w:szCs w:val="21"/>
          <w:lang w:val="zh-CN" w:eastAsia="zh-CN" w:bidi="ar-SA"/>
        </w:rPr>
        <w:t>）监理目标及周期</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在项目实施过程中，充分发挥业主的参谋助手作用，为业主提供专业的项目咨询监理服务，以保证项目的进度、质量、成本满足建设的要求，提高项目建设各方的满意度。本次采购监理服务周期为</w:t>
      </w:r>
      <w:r>
        <w:rPr>
          <w:rFonts w:hint="eastAsia" w:ascii="楷体" w:hAnsi="楷体" w:eastAsia="楷体" w:cs="楷体"/>
          <w:bCs/>
          <w:kern w:val="2"/>
          <w:sz w:val="24"/>
          <w:szCs w:val="21"/>
          <w:lang w:val="en-US" w:eastAsia="zh-CN" w:bidi="ar-SA"/>
        </w:rPr>
        <w:t>项目</w:t>
      </w:r>
      <w:r>
        <w:rPr>
          <w:rFonts w:hint="eastAsia" w:ascii="楷体" w:hAnsi="楷体" w:eastAsia="楷体" w:cs="楷体"/>
          <w:bCs/>
          <w:kern w:val="2"/>
          <w:sz w:val="24"/>
          <w:szCs w:val="21"/>
          <w:lang w:val="zh-CN" w:eastAsia="zh-CN" w:bidi="ar-SA"/>
        </w:rPr>
        <w:t>建设、试运行、验收全过程。</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w:t>
      </w:r>
      <w:r>
        <w:rPr>
          <w:rFonts w:hint="eastAsia" w:ascii="楷体" w:hAnsi="楷体" w:eastAsia="楷体" w:cs="楷体"/>
          <w:b/>
          <w:bCs w:val="0"/>
          <w:kern w:val="2"/>
          <w:sz w:val="24"/>
          <w:szCs w:val="21"/>
          <w:lang w:val="en-US" w:eastAsia="zh-CN" w:bidi="ar-SA"/>
        </w:rPr>
        <w:t>二</w:t>
      </w:r>
      <w:r>
        <w:rPr>
          <w:rFonts w:hint="eastAsia" w:ascii="楷体" w:hAnsi="楷体" w:eastAsia="楷体" w:cs="楷体"/>
          <w:b/>
          <w:bCs w:val="0"/>
          <w:kern w:val="2"/>
          <w:sz w:val="24"/>
          <w:szCs w:val="21"/>
          <w:lang w:val="zh-CN" w:eastAsia="zh-CN" w:bidi="ar-SA"/>
        </w:rPr>
        <w:t>）监理范围及工作内容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1、★监理范围</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供应商须根据采购人的要求，从施工单位进场施工起至项目终验结束。监理单位根据项目施工过程中各工序节点的要求，开展监理工作，工作范围包括：项目施工阶段的咨询、方案的评审，施工过程中四控三管一协调监理及项目验收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2、项目施工阶段监理工作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（1）工作内容：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A、召开项目监理交底会，下发项目管理制度，建设项目联系人制度；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B、督促承建单位提交项目实施组织设计书并审核；</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C、审核和确认承建单位的开发计划、安装调试计划、测试计划方案；</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D、签发项目开工令；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E、对项目进行合理阶段划分；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F、定期汇报项目监理情况；</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G、检查各项目建设内容实施的环境准备情况；</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H、对软、硬件设备等进行到货测试验收；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I、对设备安装调试进行现场监理；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J、对软件开发进行代码规范测查；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K、监督项目实施组织计划进度与实际进度的符合性，使计划进度与实际进度偏差最小化并提出合理化建议；</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L、对项目实施过程中的变更进行审核；</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M、审批承建单位项目延期申请；</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N、处理项目实施过程中出现的质量等问题；</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O、审查项目培训计划、培训教材；</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P、配合建设单位负责承建单位之间的工作协调安排；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Q、组织技术问题专题研讨会；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R、项目文档的整理归集。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（2）工作成果：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A、项目管理制度；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B、项目工作联系表；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C、项目实施组织设计审批表；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D、开发计划、安装调试计划、测试计划审批表；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E、阶段划分建议书；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F、会议纪要；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G、周报；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H、月报；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I、项目进展情况汇报；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J、项目实施准备检查记录单；</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K、到货验收单；</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L、设备安装调试现场记录单；</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M、项目变更审批意见；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N、项目会商记录；</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O、项目款项支付审核意见；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P、事故处理意见；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Q、培训计划审批表；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R、培训工作反馈意见表；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S、项目培训现场监督；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T、项目协调会议纪要；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U、技术专题会议纪要；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V、项目实施阶段文档汇编。</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（4）项目初验和试运行阶段咨询监理工作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（1）工作内容：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A、审查承建单位初验申请及证明材料；</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B、审查承建单位试运行保障计划；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C、编制项目初验方案；</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E、组织初验文档检查工作；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F、协助聘请初验会议专家；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G、监督初验意见的整改工作；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H、签署初验报告；</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I、签发试运行监理通知书；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J、试运行工作管理；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K、试运行阶段例会；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L、试运行情况总结；</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M、跟踪试运行问题情况处理。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（2）项目质量控制：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A、总体规划质量的控制：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a.所循规范与标准的审核和确认；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b.业务的市域特色的审核和确认；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c.组织总体规划方案的评审与验收。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B、系统集成质量的控制：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a.系统集成方案的审核和确认；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b.审核关键设备、系统软件选型方案，协助系统集成商和建设方进行选型；</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c.对采购的硬件设备的质量进行检验、测试和验收；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d.对设备安装、系统软件的安装调试进行验收；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e.对系统集成进行整体验收。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C、人员培训的质量控制：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a.审核确认承建单位的培训计划；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b.监督承建单位实施其培训计划，并征求用户的反馈意见；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c.监督审查考核工作，评估培训效果；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d.审核确认承建单位的培训总结报告。</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D、项目进度控制：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a.审核承建单位的进度分解计划，确认分解计划可以保证整体计划目标；</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b.对项目实施进度进行实时跟踪，并要求承建单位对进度计划进行动态调整，以确保项目的阶段和总体进度目标的实现；</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c.当工期目标偏离时，及时指出，并提出对策建议，同时督促承建单位尽快采取措施。</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（3）项目投资控制：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A、通过对项目实施中的方案及设计的优化，确保投资控制在合理、性价比高的范围内；</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B、协助建设单位做好项目支付预算的现金流量表，将付款进度与项目质量、工作进度结合起来。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（4）项目进度控制：按照项目制定工作计划，协调各方人员及时做好相关工作，确保项目推进进度。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（5）项目合同管理：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A、跟踪检查合同的执行情况，确保承建单位按时履约；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B、对合同工期的延误和延期进行审核确认；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C、对合同变更、索赔等事宜进行审核确认；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D、根据合同约定，审核承建单位提交的支付申请，签发付款凭证。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（6）信息管理／项目文档管理：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A、做好监理日记及项目大事记；</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B、做好合同批复等各类往来文件的批复和存档；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C、做好项目协调会、技术专题会等各项会议纪要；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D、管理好实施期间的各类、各方技术文档；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E、做好项目周报；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F、做好监理建议书和监理通知书存档；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G、阶段性项目总结。</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供应商按照要求及时进行信息归总及文档规整工作，并在规定时间内将移交资料提交给采购人，如不按此要求执行的，本合同自动延期至移交资料完整交接为止。</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（7）经项目承建方委托，负责协调本项目所涉及的各承建单位之间的工作关系，并协调解决项目建设过程中的各类纠纷。</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（8）监理方应该通过必要的会议制度来实施协调工作，主要包括：</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A、现场会；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B、监理交底会；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C、周例会；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D、监理协调会；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E、专题讨论会；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F、专家论证会；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G、阶段工作总结会；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H、问题通报会；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I、阶段及最终验收会。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（9）咨询监理服务准则：</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遵照《中华人民共和国标准化法》、《中华人民共和国标准化法实施条例》以及国家信息产业部《信息系统工程监理暂行规定》，以“守法、诚信、公正、科学”的准则执业，维护采购人与承建方的合法权益。具体应做到：</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A、从客户战略出发、以客户需求为中心，参照ITSS对IT服务进行全面系统的规划设计，为IT服务的部署实施做好准备，以确保为最终客户提供满足其需求的服务；</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B、执行有关项目建设的法律、法规、规范、标准和制度，履行监理合同规定的义务和职责；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C、不收受被监理单位的任何礼金；</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D、不泄露所监理项目各方认为需要保密的事项；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E、遵守国家的法律和政府的有关条例、规定和办法等；</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F、坚持公正的立场，独立、公正地处理有关各方的争议；</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G、坚持科学的态度和实事求是的原则；</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H、在坚持按监理合同的规定向建设单位提供技术服务的同时，帮助被监理者完成起担负的建设任务；</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I、不泄漏所监理的项目需保密的事项。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（10）咨询监理服务遵照的依据：</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A、ITSS信息技术服务标准；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B、国家信息产业部有关信息系统工程建设和监理管理规范；</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C、采购人与项目承建单位签订的合同和协议；</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D、采购人与中标供应商或成交供应商签订的监理合同；</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E、国家有关技术规范和标准。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（11）按照采购人要求配合审计部门或第三方专业机构对采购人项目的审计工作，提供相关资料。</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12）保密要求：所有参与监理项目的人员签订正式保密协议，并在工作中坚持保密原则，供应商严格规范执行各项保密制度，对在项目招标、建设、质保各阶段取得采购人各类信息进行保密管理，杜绝任何泄密事件的发生。</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w:t>
      </w:r>
      <w:r>
        <w:rPr>
          <w:rFonts w:hint="eastAsia" w:ascii="楷体" w:hAnsi="楷体" w:eastAsia="楷体" w:cs="楷体"/>
          <w:b/>
          <w:bCs w:val="0"/>
          <w:kern w:val="2"/>
          <w:sz w:val="24"/>
          <w:szCs w:val="21"/>
          <w:lang w:val="en-US" w:eastAsia="zh-CN" w:bidi="ar-SA"/>
        </w:rPr>
        <w:t>三</w:t>
      </w:r>
      <w:r>
        <w:rPr>
          <w:rFonts w:hint="eastAsia" w:ascii="楷体" w:hAnsi="楷体" w:eastAsia="楷体" w:cs="楷体"/>
          <w:b/>
          <w:bCs w:val="0"/>
          <w:kern w:val="2"/>
          <w:sz w:val="24"/>
          <w:szCs w:val="21"/>
          <w:lang w:val="zh-CN" w:eastAsia="zh-CN" w:bidi="ar-SA"/>
        </w:rPr>
        <w:t>）监理工作要求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★①项目人员与组织机构</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项目在实施过程中，监理单位要保证整个监理团队至少应包括总监理1名，监理员1名；人员姓名、身份证号、相关证书、工作经历、参与项目经验）等均需在响应文件中响应。</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②如应采购人需要，供应商还需组织安排相关专业领域的专家加入到管理工作中来。供应商应无条件同意采购人因工作需要提出的加班时间安排。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③合同签定之日起，供应商在响应文件中明确的监理人员（任何一个或全部）在收到采购人的请求后1小时内不能按要求上门提供服务的，采购人将按合同总额的千分之五/人次扣款。供应商须承诺无条件同意采购人的此项要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④现场项目管理人员需确保固定，原则上不得变动，确因特殊情况需调整的，需提前1个月向采购人提出申请，在确保工作不受影响，所调换人员资质及工作水平不低于变动人员的前提下，经采购人同意方可做人员调整。未按以上要求发生的人员随意调整，采购人将按合同总额的千分之十/人次扣款。供应商提供项目工作人员如需休合理假期，需提前一周向采购人申请，在保证工作不受影响的前提下，经采购人同意后方可休假。</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fldChar w:fldCharType="begin"/>
      </w:r>
      <w:r>
        <w:rPr>
          <w:rFonts w:hint="eastAsia" w:ascii="楷体" w:hAnsi="楷体" w:eastAsia="楷体" w:cs="楷体"/>
          <w:bCs/>
          <w:kern w:val="2"/>
          <w:sz w:val="24"/>
          <w:szCs w:val="21"/>
          <w:lang w:val="zh-CN" w:eastAsia="zh-CN" w:bidi="ar-SA"/>
        </w:rPr>
        <w:instrText xml:space="preserve"> = 5 \* GB3 \* MERGEFORMAT </w:instrText>
      </w:r>
      <w:r>
        <w:rPr>
          <w:rFonts w:hint="eastAsia" w:ascii="楷体" w:hAnsi="楷体" w:eastAsia="楷体" w:cs="楷体"/>
          <w:bCs/>
          <w:kern w:val="2"/>
          <w:sz w:val="24"/>
          <w:szCs w:val="21"/>
          <w:lang w:val="zh-CN" w:eastAsia="zh-CN" w:bidi="ar-SA"/>
        </w:rPr>
        <w:fldChar w:fldCharType="separate"/>
      </w:r>
      <w:r>
        <w:rPr>
          <w:rFonts w:hint="eastAsia" w:ascii="楷体" w:hAnsi="楷体" w:eastAsia="楷体" w:cs="楷体"/>
          <w:bCs/>
          <w:kern w:val="2"/>
          <w:sz w:val="24"/>
          <w:szCs w:val="21"/>
          <w:lang w:val="zh-CN" w:eastAsia="zh-CN" w:bidi="ar-SA"/>
        </w:rPr>
        <w:t>⑤</w:t>
      </w:r>
      <w:r>
        <w:rPr>
          <w:rFonts w:hint="eastAsia" w:ascii="楷体" w:hAnsi="楷体" w:eastAsia="楷体" w:cs="楷体"/>
          <w:bCs/>
          <w:kern w:val="2"/>
          <w:sz w:val="24"/>
          <w:szCs w:val="21"/>
          <w:lang w:val="zh-CN" w:eastAsia="zh-CN" w:bidi="ar-SA"/>
        </w:rPr>
        <w:fldChar w:fldCharType="end"/>
      </w:r>
      <w:r>
        <w:rPr>
          <w:rFonts w:hint="eastAsia" w:ascii="楷体" w:hAnsi="楷体" w:eastAsia="楷体" w:cs="楷体"/>
          <w:bCs/>
          <w:kern w:val="2"/>
          <w:sz w:val="24"/>
          <w:szCs w:val="21"/>
          <w:lang w:val="zh-CN" w:eastAsia="zh-CN" w:bidi="ar-SA"/>
        </w:rPr>
        <w:t>项目监理方案</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供应商在投标时提交初步监理方案，包含以下内容：明确监理内容和工作重点，在质量控制、进度控制、投资控制、合同与信息管理、安全与保密措施、现场组织协调、安全生产与文明施工等方面明确管理标准和流程。</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w:t>
      </w:r>
      <w:r>
        <w:rPr>
          <w:rFonts w:hint="eastAsia" w:ascii="楷体" w:hAnsi="楷体" w:eastAsia="楷体" w:cs="楷体"/>
          <w:b/>
          <w:bCs w:val="0"/>
          <w:kern w:val="2"/>
          <w:sz w:val="24"/>
          <w:szCs w:val="21"/>
          <w:lang w:val="en-US" w:eastAsia="zh-CN" w:bidi="ar-SA"/>
        </w:rPr>
        <w:t>四</w:t>
      </w:r>
      <w:r>
        <w:rPr>
          <w:rFonts w:hint="eastAsia" w:ascii="楷体" w:hAnsi="楷体" w:eastAsia="楷体" w:cs="楷体"/>
          <w:b/>
          <w:bCs w:val="0"/>
          <w:kern w:val="2"/>
          <w:sz w:val="24"/>
          <w:szCs w:val="21"/>
          <w:lang w:val="zh-CN" w:eastAsia="zh-CN" w:bidi="ar-SA"/>
        </w:rPr>
        <w:t>）其他要求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en-US" w:eastAsia="zh-CN" w:bidi="ar-SA"/>
        </w:rPr>
        <w:t>1</w:t>
      </w:r>
      <w:r>
        <w:rPr>
          <w:rFonts w:hint="eastAsia" w:ascii="楷体" w:hAnsi="楷体" w:eastAsia="楷体" w:cs="楷体"/>
          <w:bCs/>
          <w:kern w:val="2"/>
          <w:sz w:val="24"/>
          <w:szCs w:val="21"/>
          <w:lang w:val="zh-CN" w:eastAsia="zh-CN" w:bidi="ar-SA"/>
        </w:rPr>
        <w:t>、供应商应承诺响应文件中提供的投标人资格、资质证明文件不存在隐瞒、与实际情况不符等情况，采购人有权在投标人中标后对投标人相关资质、资格和能力进行考察验证，如果存在重大差异，有权取消或终止合同。</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en-US" w:eastAsia="zh-CN" w:bidi="ar-SA"/>
        </w:rPr>
        <w:t>2</w:t>
      </w:r>
      <w:r>
        <w:rPr>
          <w:rFonts w:hint="eastAsia" w:ascii="楷体" w:hAnsi="楷体" w:eastAsia="楷体" w:cs="楷体"/>
          <w:bCs/>
          <w:kern w:val="2"/>
          <w:sz w:val="24"/>
          <w:szCs w:val="21"/>
          <w:lang w:val="zh-CN" w:eastAsia="zh-CN" w:bidi="ar-SA"/>
        </w:rPr>
        <w:t>、供应商承诺已充分了解了本此招标的项目需求，对采购的服务做了充分的评估，能够满足本次项目建设的目标，采购人在本项目建设周期内将不再需要另外采购其他服务，否则需要在响应文件中进行说明。</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en-US" w:eastAsia="zh-CN" w:bidi="ar-SA"/>
        </w:rPr>
        <w:t>3</w:t>
      </w:r>
      <w:r>
        <w:rPr>
          <w:rFonts w:hint="eastAsia" w:ascii="楷体" w:hAnsi="楷体" w:eastAsia="楷体" w:cs="楷体"/>
          <w:bCs/>
          <w:kern w:val="2"/>
          <w:sz w:val="24"/>
          <w:szCs w:val="21"/>
          <w:lang w:val="zh-CN" w:eastAsia="zh-CN" w:bidi="ar-SA"/>
        </w:rPr>
        <w:t>、供应商应承诺在项目完成时将项目的全部有关技术文件、资料及测试、验收报告等文档汇集成册交付采购人。</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en-US" w:eastAsia="zh-CN" w:bidi="ar-SA"/>
        </w:rPr>
        <w:t>三、</w:t>
      </w:r>
      <w:r>
        <w:rPr>
          <w:rFonts w:hint="eastAsia" w:ascii="楷体" w:hAnsi="楷体" w:eastAsia="楷体" w:cs="楷体"/>
          <w:bCs/>
          <w:kern w:val="2"/>
          <w:sz w:val="24"/>
          <w:szCs w:val="21"/>
          <w:lang w:val="zh-CN" w:eastAsia="zh-CN" w:bidi="ar-SA"/>
        </w:rPr>
        <w:t>付款条件：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付款方式：监理合同签订后</w:t>
      </w:r>
      <w:r>
        <w:rPr>
          <w:rFonts w:hint="eastAsia" w:ascii="楷体" w:hAnsi="楷体" w:eastAsia="楷体" w:cs="楷体"/>
          <w:bCs/>
          <w:kern w:val="2"/>
          <w:sz w:val="24"/>
          <w:szCs w:val="21"/>
          <w:lang w:val="en-US" w:eastAsia="zh-CN" w:bidi="ar-SA"/>
        </w:rPr>
        <w:t>一个月</w:t>
      </w:r>
      <w:r>
        <w:rPr>
          <w:rFonts w:hint="eastAsia" w:ascii="楷体" w:hAnsi="楷体" w:eastAsia="楷体" w:cs="楷体"/>
          <w:bCs/>
          <w:kern w:val="2"/>
          <w:sz w:val="24"/>
          <w:szCs w:val="21"/>
          <w:lang w:val="zh-CN" w:eastAsia="zh-CN" w:bidi="ar-SA"/>
        </w:rPr>
        <w:t>日内采购人付成交供应商合同总金额的40%，</w:t>
      </w:r>
      <w:r>
        <w:rPr>
          <w:rFonts w:hint="eastAsia" w:ascii="楷体" w:hAnsi="楷体" w:eastAsia="楷体" w:cs="楷体"/>
          <w:bCs/>
          <w:kern w:val="2"/>
          <w:sz w:val="24"/>
          <w:szCs w:val="21"/>
          <w:lang w:val="en-US" w:eastAsia="zh-CN" w:bidi="ar-SA"/>
        </w:rPr>
        <w:t>项目完成初验后七个工作日内支付合同总金额的30%，</w:t>
      </w:r>
      <w:r>
        <w:rPr>
          <w:rFonts w:hint="eastAsia" w:ascii="楷体" w:hAnsi="楷体" w:eastAsia="楷体" w:cs="楷体"/>
          <w:bCs/>
          <w:kern w:val="2"/>
          <w:sz w:val="24"/>
          <w:szCs w:val="21"/>
          <w:lang w:val="zh-CN" w:eastAsia="zh-CN" w:bidi="ar-SA"/>
        </w:rPr>
        <w:t>项目终验合格后七个工作日内</w:t>
      </w:r>
      <w:r>
        <w:rPr>
          <w:rFonts w:hint="eastAsia" w:ascii="楷体" w:hAnsi="楷体" w:eastAsia="楷体" w:cs="楷体"/>
          <w:bCs/>
          <w:kern w:val="2"/>
          <w:sz w:val="24"/>
          <w:szCs w:val="21"/>
          <w:lang w:val="en-US" w:eastAsia="zh-CN" w:bidi="ar-SA"/>
        </w:rPr>
        <w:t>支付合同总金额的30%</w:t>
      </w:r>
      <w:r>
        <w:rPr>
          <w:rFonts w:hint="eastAsia" w:ascii="楷体" w:hAnsi="楷体" w:eastAsia="楷体" w:cs="楷体"/>
          <w:bCs/>
          <w:kern w:val="2"/>
          <w:sz w:val="24"/>
          <w:szCs w:val="21"/>
          <w:lang w:val="zh-CN" w:eastAsia="zh-CN" w:bidi="ar-SA"/>
        </w:rPr>
        <w:t>。</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备注：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本章有带星号（“★”）的内容及商务部分要求均为实质性要求，不允许负偏离，否则作为无效报价。采购文件中要求的产品品牌或型号，是采购人根据项目所要实现的功能及考量后推荐的品牌或型号，投标人可以采用其他品牌的产品进行投标，但是，所有功能必须能满足采购项目整体性能的实现。</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p>
    <w:p>
      <w:pPr>
        <w:snapToGrid w:val="0"/>
        <w:spacing w:line="360" w:lineRule="auto"/>
        <w:ind w:firstLine="480" w:firstLineChars="200"/>
        <w:rPr>
          <w:rFonts w:hint="eastAsia" w:ascii="楷体" w:hAnsi="楷体" w:eastAsia="楷体" w:cs="楷体"/>
          <w:bCs/>
          <w:sz w:val="24"/>
          <w:lang w:val="zh-CN"/>
        </w:rPr>
      </w:pPr>
    </w:p>
    <w:p>
      <w:pPr>
        <w:snapToGrid w:val="0"/>
        <w:spacing w:line="360" w:lineRule="auto"/>
        <w:ind w:firstLine="480" w:firstLineChars="200"/>
        <w:rPr>
          <w:rFonts w:hint="eastAsia" w:ascii="楷体" w:hAnsi="楷体" w:eastAsia="楷体" w:cs="楷体"/>
          <w:bCs/>
          <w:sz w:val="24"/>
          <w:lang w:val="zh-CN"/>
        </w:rPr>
      </w:pPr>
    </w:p>
    <w:p>
      <w:pPr>
        <w:snapToGrid w:val="0"/>
        <w:spacing w:line="360" w:lineRule="auto"/>
        <w:ind w:firstLine="480" w:firstLineChars="200"/>
        <w:rPr>
          <w:rFonts w:hint="eastAsia" w:ascii="楷体" w:hAnsi="楷体" w:eastAsia="楷体" w:cs="楷体"/>
          <w:bCs/>
          <w:sz w:val="24"/>
          <w:lang w:val="zh-CN"/>
        </w:rPr>
      </w:pPr>
    </w:p>
    <w:p>
      <w:pPr>
        <w:pStyle w:val="2"/>
        <w:ind w:left="1260"/>
        <w:rPr>
          <w:rFonts w:hint="eastAsia" w:ascii="楷体" w:hAnsi="楷体" w:eastAsia="楷体" w:cs="楷体"/>
          <w:kern w:val="0"/>
          <w:sz w:val="24"/>
        </w:rPr>
      </w:pPr>
    </w:p>
    <w:p>
      <w:pPr>
        <w:rPr>
          <w:rFonts w:hint="eastAsia"/>
        </w:rPr>
      </w:pPr>
    </w:p>
    <w:p>
      <w:pPr>
        <w:rPr>
          <w:rFonts w:hint="eastAsia" w:ascii="楷体" w:hAnsi="楷体" w:eastAsia="楷体" w:cs="楷体"/>
          <w:kern w:val="0"/>
          <w:sz w:val="24"/>
        </w:rPr>
      </w:pPr>
    </w:p>
    <w:p>
      <w:pPr>
        <w:pStyle w:val="11"/>
        <w:ind w:firstLine="240"/>
        <w:rPr>
          <w:rFonts w:hint="eastAsia" w:ascii="楷体" w:hAnsi="楷体" w:eastAsia="楷体" w:cs="楷体"/>
          <w:kern w:val="0"/>
          <w:sz w:val="24"/>
        </w:rPr>
      </w:pPr>
    </w:p>
    <w:p>
      <w:pPr>
        <w:pStyle w:val="11"/>
        <w:ind w:firstLine="240"/>
        <w:rPr>
          <w:rFonts w:hint="eastAsia" w:ascii="楷体" w:hAnsi="楷体" w:eastAsia="楷体" w:cs="楷体"/>
          <w:kern w:val="0"/>
          <w:sz w:val="24"/>
        </w:rPr>
      </w:pPr>
    </w:p>
    <w:p>
      <w:pPr>
        <w:pStyle w:val="11"/>
        <w:ind w:firstLine="240"/>
        <w:rPr>
          <w:rFonts w:hint="eastAsia" w:ascii="楷体" w:hAnsi="楷体" w:eastAsia="楷体" w:cs="楷体"/>
          <w:kern w:val="0"/>
          <w:sz w:val="24"/>
        </w:rPr>
      </w:pPr>
    </w:p>
    <w:bookmarkEnd w:id="60"/>
    <w:bookmarkEnd w:id="61"/>
    <w:p>
      <w:pPr>
        <w:pStyle w:val="3"/>
        <w:bidi w:val="0"/>
        <w:rPr>
          <w:rFonts w:hint="eastAsia"/>
        </w:rPr>
      </w:pPr>
      <w:bookmarkStart w:id="64" w:name="_Toc32611"/>
      <w:bookmarkStart w:id="65" w:name="_Toc24347"/>
      <w:bookmarkStart w:id="66" w:name="_Toc324237157"/>
      <w:bookmarkStart w:id="67" w:name="_Toc8457"/>
      <w:bookmarkStart w:id="68" w:name="_Toc273"/>
      <w:r>
        <w:rPr>
          <w:rFonts w:hint="eastAsia"/>
        </w:rPr>
        <w:t>第四章  评审方法和评审标准</w:t>
      </w:r>
      <w:bookmarkEnd w:id="64"/>
    </w:p>
    <w:p>
      <w:pPr>
        <w:pStyle w:val="4"/>
        <w:bidi w:val="0"/>
        <w:rPr>
          <w:rFonts w:hint="eastAsia" w:ascii="Arial" w:hAnsi="Arial"/>
          <w:b/>
        </w:rPr>
      </w:pPr>
      <w:bookmarkStart w:id="69" w:name="_Toc1535"/>
      <w:r>
        <w:rPr>
          <w:rFonts w:hint="eastAsia" w:ascii="Arial" w:hAnsi="Arial"/>
          <w:b/>
        </w:rPr>
        <w:t>一、评标方法与定标原则</w:t>
      </w:r>
      <w:bookmarkEnd w:id="65"/>
      <w:bookmarkEnd w:id="69"/>
    </w:p>
    <w:p>
      <w:pPr>
        <w:pStyle w:val="5"/>
        <w:spacing w:line="360" w:lineRule="auto"/>
        <w:ind w:firstLine="480" w:firstLineChars="20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w:t>
      </w:r>
      <w:r>
        <w:rPr>
          <w:rFonts w:hint="eastAsia" w:ascii="楷体" w:hAnsi="楷体" w:eastAsia="楷体" w:cs="楷体"/>
          <w:kern w:val="0"/>
          <w:sz w:val="24"/>
          <w:szCs w:val="21"/>
          <w:lang w:val="en-US" w:eastAsia="zh-CN" w:bidi="ar-SA"/>
        </w:rPr>
        <w:t>序排列，每个分包由评标委员会推荐1个成交候选人。具体打分办法如下：</w:t>
      </w:r>
    </w:p>
    <w:p>
      <w:pPr>
        <w:pStyle w:val="4"/>
        <w:bidi w:val="0"/>
        <w:rPr>
          <w:rFonts w:hint="eastAsia" w:ascii="Arial" w:hAnsi="Arial"/>
          <w:b/>
          <w:lang w:val="en-US" w:eastAsia="zh-CN"/>
        </w:rPr>
      </w:pPr>
      <w:bookmarkStart w:id="70" w:name="_Toc8228"/>
      <w:r>
        <w:rPr>
          <w:rFonts w:hint="eastAsia" w:ascii="Arial" w:hAnsi="Arial"/>
          <w:b/>
          <w:lang w:val="en-US" w:eastAsia="zh-CN"/>
        </w:rPr>
        <w:t>二、</w:t>
      </w:r>
      <w:r>
        <w:rPr>
          <w:rFonts w:hint="eastAsia" w:ascii="Arial" w:hAnsi="Arial"/>
          <w:b/>
        </w:rPr>
        <w:t>成交标准</w:t>
      </w:r>
      <w:bookmarkEnd w:id="70"/>
    </w:p>
    <w:tbl>
      <w:tblPr>
        <w:tblStyle w:val="12"/>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124"/>
        <w:gridCol w:w="445"/>
        <w:gridCol w:w="5673"/>
        <w:gridCol w:w="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exact"/>
          <w:tblHeader/>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default" w:ascii="楷体" w:hAnsi="楷体" w:eastAsia="楷体" w:cs="楷体"/>
                <w:kern w:val="0"/>
                <w:sz w:val="22"/>
                <w:szCs w:val="20"/>
                <w:lang w:val="en-US" w:eastAsia="zh-CN" w:bidi="ar-SA"/>
              </w:rPr>
            </w:pPr>
            <w:bookmarkStart w:id="71" w:name="_Toc25132"/>
            <w:bookmarkStart w:id="72" w:name="_Toc26593"/>
            <w:bookmarkStart w:id="73" w:name="_Toc27008"/>
            <w:bookmarkStart w:id="74" w:name="_Toc31574"/>
            <w:r>
              <w:rPr>
                <w:rFonts w:hint="eastAsia" w:ascii="楷体" w:hAnsi="楷体" w:eastAsia="楷体" w:cs="楷体"/>
                <w:kern w:val="0"/>
                <w:sz w:val="22"/>
                <w:szCs w:val="20"/>
                <w:lang w:val="en-US" w:eastAsia="zh-CN" w:bidi="ar-SA"/>
              </w:rPr>
              <w:t>序号</w:t>
            </w:r>
          </w:p>
        </w:tc>
        <w:tc>
          <w:tcPr>
            <w:tcW w:w="112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楷体" w:hAnsi="楷体" w:eastAsia="楷体" w:cs="楷体"/>
                <w:kern w:val="0"/>
                <w:sz w:val="22"/>
                <w:szCs w:val="20"/>
                <w:lang w:val="en-US" w:eastAsia="zh-CN" w:bidi="ar-SA"/>
              </w:rPr>
            </w:pPr>
            <w:r>
              <w:rPr>
                <w:rFonts w:hint="eastAsia" w:ascii="楷体" w:hAnsi="楷体" w:eastAsia="楷体" w:cs="楷体"/>
                <w:kern w:val="0"/>
                <w:sz w:val="22"/>
                <w:szCs w:val="20"/>
                <w:lang w:val="en-US" w:eastAsia="zh-CN" w:bidi="ar-SA"/>
              </w:rPr>
              <w:t>评分</w:t>
            </w:r>
          </w:p>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楷体" w:hAnsi="楷体" w:eastAsia="楷体" w:cs="楷体"/>
                <w:kern w:val="0"/>
                <w:sz w:val="22"/>
                <w:szCs w:val="20"/>
                <w:lang w:val="en-US" w:eastAsia="zh-CN" w:bidi="ar-SA"/>
              </w:rPr>
            </w:pPr>
            <w:r>
              <w:rPr>
                <w:rFonts w:hint="eastAsia" w:ascii="楷体" w:hAnsi="楷体" w:eastAsia="楷体" w:cs="楷体"/>
                <w:kern w:val="0"/>
                <w:sz w:val="22"/>
                <w:szCs w:val="20"/>
                <w:lang w:val="en-US" w:eastAsia="zh-CN" w:bidi="ar-SA"/>
              </w:rPr>
              <w:t>因素</w:t>
            </w: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楷体" w:hAnsi="楷体" w:eastAsia="楷体" w:cs="楷体"/>
                <w:kern w:val="0"/>
                <w:sz w:val="22"/>
                <w:szCs w:val="20"/>
                <w:lang w:val="en-US" w:eastAsia="zh-CN" w:bidi="ar-SA"/>
              </w:rPr>
            </w:pPr>
            <w:r>
              <w:rPr>
                <w:rFonts w:hint="eastAsia" w:ascii="楷体" w:hAnsi="楷体" w:eastAsia="楷体" w:cs="楷体"/>
                <w:kern w:val="0"/>
                <w:sz w:val="22"/>
                <w:szCs w:val="20"/>
                <w:lang w:val="en-US" w:eastAsia="zh-CN" w:bidi="ar-SA"/>
              </w:rPr>
              <w:t>评审标准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楷体" w:hAnsi="楷体" w:eastAsia="楷体" w:cs="楷体"/>
                <w:kern w:val="0"/>
                <w:sz w:val="22"/>
                <w:szCs w:val="20"/>
                <w:lang w:val="en-US" w:eastAsia="zh-CN" w:bidi="ar-SA"/>
              </w:rPr>
            </w:pPr>
            <w:r>
              <w:rPr>
                <w:rFonts w:hint="eastAsia" w:ascii="楷体" w:hAnsi="楷体" w:eastAsia="楷体" w:cs="楷体"/>
                <w:kern w:val="0"/>
                <w:sz w:val="22"/>
                <w:szCs w:val="20"/>
                <w:lang w:val="en-US" w:eastAsia="zh-CN" w:bidi="ar-SA"/>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1</w:t>
            </w:r>
          </w:p>
        </w:tc>
        <w:tc>
          <w:tcPr>
            <w:tcW w:w="1124"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价格</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（20分）</w:t>
            </w:r>
          </w:p>
        </w:tc>
        <w:tc>
          <w:tcPr>
            <w:tcW w:w="6118" w:type="dxa"/>
            <w:gridSpan w:val="2"/>
            <w:tcBorders>
              <w:tl2br w:val="nil"/>
              <w:tr2bl w:val="nil"/>
            </w:tcBorders>
            <w:shd w:val="clear" w:color="auto" w:fill="auto"/>
            <w:vAlign w:val="center"/>
          </w:tcPr>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采用低价优先法计算，即满足采购文件要求且投标价格最低的投标报价为评标基准价，其价格分为满分。其他供应商的价格分统一按照下列公式计算：</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投标报价得分=(评标基准价/投标报价)×20（小数点保留两位）。</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eastAsia="宋体"/>
                <w:color w:val="000000"/>
                <w:sz w:val="21"/>
                <w:szCs w:val="21"/>
                <w:lang w:val="en-US" w:eastAsia="zh-CN"/>
              </w:rPr>
            </w:pPr>
            <w:r>
              <w:rPr>
                <w:rFonts w:hint="eastAsia"/>
                <w:color w:val="000000"/>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2.1</w:t>
            </w:r>
          </w:p>
        </w:tc>
        <w:tc>
          <w:tcPr>
            <w:tcW w:w="1124" w:type="dxa"/>
            <w:vMerge w:val="restart"/>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技术</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（36分）</w:t>
            </w: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监理大纲</w:t>
            </w:r>
            <w:r>
              <w:rPr>
                <w:rFonts w:hint="eastAsia" w:ascii="楷体" w:hAnsi="楷体" w:eastAsia="楷体" w:cs="楷体"/>
                <w:kern w:val="0"/>
                <w:sz w:val="24"/>
                <w:szCs w:val="21"/>
                <w:lang w:val="en-US" w:eastAsia="zh-CN" w:bidi="ar-SA"/>
              </w:rPr>
              <w:t>：</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方案内容完整、重点突出、目标明确、符合规范得8分 ；</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方案内容较为完整，基本符合规范、目标基本清晰得5分；</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方案内容基本完整，目标不够清晰、重点不够突出得2分；</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val="en-US" w:eastAsia="zh-CN"/>
              </w:rPr>
            </w:pPr>
            <w:r>
              <w:rPr>
                <w:rFonts w:hint="eastAsia"/>
                <w:color w:val="000000"/>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2.2</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6118" w:type="dxa"/>
            <w:gridSpan w:val="2"/>
            <w:tcBorders>
              <w:tl2br w:val="nil"/>
              <w:tr2bl w:val="nil"/>
            </w:tcBorders>
            <w:shd w:val="clear" w:color="auto" w:fill="auto"/>
            <w:vAlign w:val="center"/>
          </w:tcPr>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b/>
                <w:bCs/>
                <w:kern w:val="0"/>
                <w:sz w:val="24"/>
                <w:szCs w:val="21"/>
                <w:lang w:val="en-US" w:eastAsia="zh-CN" w:bidi="ar-SA"/>
              </w:rPr>
            </w:pPr>
            <w:r>
              <w:rPr>
                <w:rFonts w:hint="eastAsia" w:ascii="楷体" w:hAnsi="楷体" w:eastAsia="楷体" w:cs="楷体"/>
                <w:b/>
                <w:bCs/>
                <w:kern w:val="0"/>
                <w:sz w:val="24"/>
                <w:szCs w:val="21"/>
                <w:lang w:val="en-US" w:eastAsia="zh-CN" w:bidi="ar-SA"/>
              </w:rPr>
              <w:t>监理方案：</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方案科学合理、组织有序、严格按照信息化项目监理要求进行组织实施得7分；方案较为科学合理、组织流程较为有序得5分；方案欠缺合理性、组织流程基本有序得3分；</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2.3</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重点难点解决方案</w:t>
            </w:r>
            <w:r>
              <w:rPr>
                <w:rFonts w:hint="eastAsia" w:ascii="楷体" w:hAnsi="楷体" w:eastAsia="楷体" w:cs="楷体"/>
                <w:kern w:val="0"/>
                <w:sz w:val="24"/>
                <w:szCs w:val="21"/>
                <w:lang w:val="en-US" w:eastAsia="zh-CN" w:bidi="ar-SA"/>
              </w:rPr>
              <w:t>:</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方案完整严谨、分析合理、解决措施得当、符合目前的各类系统的实际情况得7分；方案基本完整严谨 、分析基本合理、解决措施基本得当得3分；其他不得分。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val="en-US" w:eastAsia="zh-CN"/>
              </w:rPr>
            </w:pPr>
            <w:r>
              <w:rPr>
                <w:rFonts w:hint="eastAsia"/>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2.4</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安全文明、保密监管方案</w:t>
            </w:r>
            <w:r>
              <w:rPr>
                <w:rFonts w:hint="eastAsia" w:ascii="楷体" w:hAnsi="楷体" w:eastAsia="楷体" w:cs="楷体"/>
                <w:kern w:val="0"/>
                <w:sz w:val="24"/>
                <w:szCs w:val="21"/>
                <w:lang w:val="en-US" w:eastAsia="zh-CN" w:bidi="ar-SA"/>
              </w:rPr>
              <w:t>：</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方案完善严谨、安全方案保障合理、保密监管科学有效得7分；方案较完善、安全保密保障较合理，保密监管科学较有效得3分；其他不得分。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2.5</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技术保障方案</w:t>
            </w:r>
            <w:r>
              <w:rPr>
                <w:rFonts w:hint="eastAsia" w:ascii="楷体" w:hAnsi="楷体" w:eastAsia="楷体" w:cs="楷体"/>
                <w:kern w:val="0"/>
                <w:sz w:val="24"/>
                <w:szCs w:val="21"/>
                <w:lang w:val="en-US" w:eastAsia="zh-CN" w:bidi="ar-SA"/>
              </w:rPr>
              <w:t>:</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方案科学合理、组织有序、可根据本次信息化项目特点提供可行性建议得7分；方案较科学严谨、合理化建议分析较详细得3分；其他不得分。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3</w:t>
            </w:r>
          </w:p>
        </w:tc>
        <w:tc>
          <w:tcPr>
            <w:tcW w:w="1124"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业绩</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（9分）</w:t>
            </w:r>
          </w:p>
        </w:tc>
        <w:tc>
          <w:tcPr>
            <w:tcW w:w="6118" w:type="dxa"/>
            <w:gridSpan w:val="2"/>
            <w:tcBorders>
              <w:tl2br w:val="nil"/>
              <w:tr2bl w:val="nil"/>
            </w:tcBorders>
            <w:shd w:val="clear" w:color="auto" w:fill="auto"/>
            <w:vAlign w:val="center"/>
          </w:tcPr>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2017年1月1日以来，供应商具有类似工程项目的监理案例，每个得3分,此项最多得9分。</w:t>
            </w:r>
          </w:p>
          <w:p>
            <w:pPr>
              <w:keepNext w:val="0"/>
              <w:keepLines w:val="0"/>
              <w:pageBreakBefore w:val="0"/>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（提供合同复印件加盖公章，合同须能反映项目名称，签订时间和签章清晰可见）</w:t>
            </w:r>
          </w:p>
        </w:tc>
        <w:tc>
          <w:tcPr>
            <w:tcW w:w="512" w:type="dxa"/>
            <w:tcBorders>
              <w:tl2br w:val="nil"/>
              <w:tr2bl w:val="nil"/>
            </w:tcBorders>
            <w:shd w:val="clear" w:color="auto" w:fill="auto"/>
            <w:vAlign w:val="center"/>
          </w:tcPr>
          <w:p>
            <w:pPr>
              <w:keepNext w:val="0"/>
              <w:keepLines w:val="0"/>
              <w:pageBreakBefore w:val="0"/>
              <w:kinsoku/>
              <w:wordWrap/>
              <w:overflowPunct/>
              <w:topLinePunct w:val="0"/>
              <w:bidi w:val="0"/>
              <w:adjustRightIn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3"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4.1</w:t>
            </w:r>
          </w:p>
        </w:tc>
        <w:tc>
          <w:tcPr>
            <w:tcW w:w="1124" w:type="dxa"/>
            <w:vMerge w:val="restart"/>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供应商履约</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能力</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（32分）</w:t>
            </w:r>
          </w:p>
        </w:tc>
        <w:tc>
          <w:tcPr>
            <w:tcW w:w="44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供应商技术能力</w:t>
            </w:r>
          </w:p>
        </w:tc>
        <w:tc>
          <w:tcPr>
            <w:tcW w:w="5673" w:type="dxa"/>
            <w:tcBorders>
              <w:tl2br w:val="nil"/>
              <w:tr2bl w:val="nil"/>
            </w:tcBorders>
            <w:shd w:val="clear" w:color="auto" w:fill="auto"/>
            <w:vAlign w:val="center"/>
          </w:tcPr>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供应商具有有效期内的ISO19001质量管理体系认证，得2分；</w:t>
            </w:r>
          </w:p>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供应商具有有效期内的ISO14001环境管理体系认证，得2分；</w:t>
            </w:r>
          </w:p>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供应商具有有效期内的OHSAS18001职业健康安全管理体系认证，得2分；</w:t>
            </w:r>
          </w:p>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供应商具有有效期内的ISO27001信息安全体系认证，得2分；</w:t>
            </w:r>
          </w:p>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供应商具有有效期内的ISO20000信息技术服务管理体系认证，得2分；</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（以上证书认证范围须包括信息系统工程监理服务、信息系统工程咨询服务、信息系统工程测试服务，提供上述证书复印件加盖公章，未提供不得分）。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eastAsia="宋体"/>
                <w:color w:val="000000"/>
                <w:sz w:val="21"/>
                <w:szCs w:val="21"/>
                <w:lang w:val="en-US" w:eastAsia="zh-CN"/>
              </w:rPr>
            </w:pPr>
            <w:r>
              <w:rPr>
                <w:rFonts w:hint="eastAsia"/>
                <w:color w:val="000000"/>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2"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4.2</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44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项目团队人员要求</w:t>
            </w:r>
          </w:p>
        </w:tc>
        <w:tc>
          <w:tcPr>
            <w:tcW w:w="5673"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承诺投标文件中参与项目的总监理工程师和监理人员不得更换并且驻场</w:t>
            </w:r>
            <w:r>
              <w:rPr>
                <w:rFonts w:hint="eastAsia" w:ascii="楷体" w:hAnsi="楷体" w:eastAsia="楷体" w:cs="楷体"/>
                <w:kern w:val="0"/>
                <w:sz w:val="24"/>
                <w:szCs w:val="21"/>
                <w:lang w:val="en-US" w:eastAsia="zh-CN" w:bidi="ar-SA"/>
              </w:rPr>
              <w:t>。</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1）总监理工程师要求（12分）：</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在具有计算机技术与软件专业技术资格考试取得的信息系统监理师证书和高级信息系统项目管理师证书基础上同时具有网络工程师证书得2分，具有信息安全师证书得2分，具有项目数据分析师证书得2分，具有数据库应用系统工程师证书得2分，具有网络设备调试员证书得2分,具有通信工程师高级证书得2分。</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2）监理人员专业配套及资质（10分）：</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供应商服务本项目人员在具有计算机技术与软件专业技术资格考试取得的信息系统监理师证书的人员基础上具有：</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通信工程师高级证书/软件测试工程师证书/机房规划设计工程师证书/系统规划和管理师证书/网络安全与数据恢复证书，有一个得2分，最高10分。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eastAsia="zh-CN"/>
              </w:rPr>
            </w:pPr>
            <w:r>
              <w:rPr>
                <w:color w:val="000000"/>
                <w:sz w:val="21"/>
                <w:szCs w:val="21"/>
              </w:rPr>
              <w:t>2</w:t>
            </w:r>
            <w:r>
              <w:rPr>
                <w:rFonts w:hint="eastAsia"/>
                <w:color w:val="00000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5</w:t>
            </w:r>
          </w:p>
        </w:tc>
        <w:tc>
          <w:tcPr>
            <w:tcW w:w="1124"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响应文件制作（3分）</w:t>
            </w: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根据供应商响应文件编制情况进行评分，文件编制条理清晰，页码完整，整洁美观得3分；文件编制条理一般，页码部分缺漏，基本整洁美观得1分；文件编制条理混乱，无页码，目录标注不一致、不清晰得0分。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sz w:val="21"/>
                <w:szCs w:val="21"/>
              </w:rPr>
            </w:pPr>
            <w:r>
              <w:rPr>
                <w:sz w:val="21"/>
                <w:szCs w:val="21"/>
              </w:rPr>
              <w:t>3</w:t>
            </w:r>
          </w:p>
        </w:tc>
      </w:tr>
      <w:bookmarkEnd w:id="71"/>
      <w:bookmarkEnd w:id="72"/>
      <w:bookmarkEnd w:id="73"/>
      <w:bookmarkEnd w:id="74"/>
    </w:tbl>
    <w:p>
      <w:pPr>
        <w:snapToGrid w:val="0"/>
        <w:jc w:val="left"/>
        <w:rPr>
          <w:rFonts w:hint="eastAsia" w:ascii="楷体" w:hAnsi="楷体" w:eastAsia="楷体" w:cs="楷体"/>
          <w:bCs/>
          <w:sz w:val="24"/>
        </w:rPr>
      </w:pPr>
    </w:p>
    <w:p>
      <w:pPr>
        <w:pStyle w:val="3"/>
        <w:bidi w:val="0"/>
      </w:pPr>
      <w:bookmarkStart w:id="75" w:name="_Toc29622"/>
      <w:r>
        <w:rPr>
          <w:rFonts w:hint="eastAsia"/>
        </w:rPr>
        <w:t>第五章  磋商响应文件格式</w:t>
      </w:r>
      <w:bookmarkEnd w:id="75"/>
    </w:p>
    <w:bookmarkEnd w:id="54"/>
    <w:bookmarkEnd w:id="55"/>
    <w:bookmarkEnd w:id="56"/>
    <w:bookmarkEnd w:id="66"/>
    <w:bookmarkEnd w:id="67"/>
    <w:bookmarkEnd w:id="68"/>
    <w:p>
      <w:pPr>
        <w:jc w:val="center"/>
        <w:rPr>
          <w:rFonts w:ascii="楷体" w:hAnsi="楷体" w:eastAsia="楷体" w:cs="楷体"/>
          <w:b/>
          <w:bCs/>
          <w:sz w:val="96"/>
          <w:szCs w:val="96"/>
        </w:rPr>
      </w:pPr>
      <w:bookmarkStart w:id="76" w:name="_Toc120614282"/>
      <w:bookmarkStart w:id="77" w:name="_Toc49090576"/>
      <w:bookmarkStart w:id="78" w:name="_Toc26554094"/>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spacing w:after="156" w:afterLines="50" w:line="640" w:lineRule="exact"/>
        <w:ind w:left="838" w:leftChars="399" w:firstLine="0" w:firstLineChars="0"/>
        <w:jc w:val="both"/>
        <w:rPr>
          <w:rFonts w:hint="eastAsia" w:ascii="楷体" w:hAnsi="楷体" w:eastAsia="楷体" w:cs="楷体"/>
          <w:b/>
          <w:bCs/>
          <w:sz w:val="32"/>
          <w:szCs w:val="36"/>
          <w:lang w:eastAsia="zh-CN"/>
        </w:rPr>
      </w:pPr>
      <w:r>
        <w:rPr>
          <w:rFonts w:hint="eastAsia" w:ascii="楷体" w:hAnsi="楷体" w:eastAsia="楷体" w:cs="楷体"/>
          <w:b/>
          <w:bCs/>
          <w:sz w:val="32"/>
          <w:szCs w:val="36"/>
        </w:rPr>
        <w:t>项目名称：南京交通职业技术学院</w:t>
      </w:r>
      <w:r>
        <w:rPr>
          <w:rFonts w:hint="eastAsia" w:ascii="楷体" w:hAnsi="楷体" w:eastAsia="楷体" w:cs="楷体"/>
          <w:b/>
          <w:bCs/>
          <w:sz w:val="32"/>
          <w:szCs w:val="36"/>
          <w:lang w:eastAsia="zh-CN"/>
        </w:rPr>
        <w:t>学校网络</w:t>
      </w:r>
    </w:p>
    <w:p>
      <w:pPr>
        <w:spacing w:after="156" w:afterLines="50" w:line="640" w:lineRule="exact"/>
        <w:ind w:left="838" w:leftChars="399" w:firstLine="1606" w:firstLineChars="500"/>
        <w:jc w:val="both"/>
        <w:rPr>
          <w:rFonts w:hint="eastAsia" w:ascii="楷体" w:hAnsi="楷体" w:eastAsia="楷体" w:cs="楷体"/>
          <w:b/>
          <w:bCs/>
          <w:sz w:val="32"/>
          <w:szCs w:val="36"/>
        </w:rPr>
      </w:pPr>
      <w:r>
        <w:rPr>
          <w:rFonts w:hint="eastAsia" w:ascii="楷体" w:hAnsi="楷体" w:eastAsia="楷体" w:cs="楷体"/>
          <w:b/>
          <w:bCs/>
          <w:sz w:val="32"/>
          <w:szCs w:val="36"/>
          <w:lang w:eastAsia="zh-CN"/>
        </w:rPr>
        <w:t>建设监理</w:t>
      </w:r>
      <w:r>
        <w:rPr>
          <w:rFonts w:hint="eastAsia" w:ascii="楷体" w:hAnsi="楷体" w:eastAsia="楷体" w:cs="楷体"/>
          <w:b/>
          <w:bCs/>
          <w:sz w:val="32"/>
          <w:szCs w:val="36"/>
        </w:rPr>
        <w:t>项目</w:t>
      </w:r>
    </w:p>
    <w:p>
      <w:pPr>
        <w:ind w:left="2434" w:leftChars="1159" w:firstLine="321" w:firstLineChars="100"/>
        <w:rPr>
          <w:rFonts w:ascii="楷体" w:hAnsi="楷体" w:eastAsia="楷体" w:cs="楷体"/>
          <w:b/>
          <w:bCs/>
          <w:sz w:val="32"/>
          <w:szCs w:val="36"/>
        </w:rPr>
      </w:pPr>
    </w:p>
    <w:p>
      <w:pPr>
        <w:ind w:left="2444" w:leftChars="399" w:hanging="1606" w:hangingChars="500"/>
        <w:rPr>
          <w:rFonts w:hint="eastAsia" w:ascii="楷体" w:hAnsi="楷体" w:eastAsia="楷体" w:cs="楷体"/>
          <w:b/>
          <w:bCs/>
          <w:color w:val="FF0000"/>
          <w:sz w:val="32"/>
          <w:szCs w:val="36"/>
          <w:lang w:val="en-US" w:eastAsia="zh-CN"/>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JY2020072</w:t>
      </w:r>
    </w:p>
    <w:p>
      <w:pPr>
        <w:rPr>
          <w:rFonts w:ascii="楷体" w:hAnsi="楷体" w:eastAsia="楷体" w:cs="楷体"/>
          <w:b/>
          <w:bCs/>
          <w:sz w:val="32"/>
          <w:szCs w:val="36"/>
        </w:rPr>
      </w:pPr>
    </w:p>
    <w:p>
      <w:pPr>
        <w:pStyle w:val="11"/>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磋商供应商具有良好的商业信誉和健全的财务会计制度，提供2019年度的财务状况报告（成立不满一年不需提供）；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服务方案</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0" w:firstLineChars="200"/>
              <w:jc w:val="left"/>
              <w:rPr>
                <w:rFonts w:hint="eastAsia" w:ascii="楷体" w:hAnsi="楷体" w:eastAsia="楷体" w:cs="楷体"/>
                <w:b/>
                <w:i/>
                <w:sz w:val="24"/>
                <w:szCs w:val="24"/>
                <w:u w:val="single"/>
              </w:rPr>
            </w:pP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25"/>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25"/>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25"/>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25"/>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25"/>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25"/>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25"/>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25"/>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25"/>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25"/>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79" w:name="_Toc449017027"/>
    </w:p>
    <w:bookmarkEnd w:id="57"/>
    <w:bookmarkEnd w:id="58"/>
    <w:bookmarkEnd w:id="76"/>
    <w:bookmarkEnd w:id="77"/>
    <w:bookmarkEnd w:id="78"/>
    <w:bookmarkEnd w:id="79"/>
    <w:p>
      <w:pPr>
        <w:pStyle w:val="4"/>
        <w:bidi w:val="0"/>
        <w:jc w:val="center"/>
      </w:pPr>
      <w:bookmarkStart w:id="80" w:name="_Toc25957"/>
      <w:bookmarkStart w:id="81" w:name="_Toc20268"/>
      <w:bookmarkStart w:id="82" w:name="_Toc14521"/>
      <w:bookmarkStart w:id="83" w:name="_Toc13734"/>
      <w:r>
        <w:rPr>
          <w:rFonts w:hint="eastAsia"/>
        </w:rPr>
        <w:t>一、磋商函</w:t>
      </w:r>
      <w:bookmarkEnd w:id="80"/>
      <w:bookmarkEnd w:id="81"/>
      <w:bookmarkEnd w:id="82"/>
      <w:bookmarkEnd w:id="83"/>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sz w:val="24"/>
          <w:szCs w:val="24"/>
        </w:rPr>
        <w:t xml:space="preserve">南京交通职业技术学院 </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r>
        <w:rPr>
          <w:rFonts w:hint="eastAsia" w:ascii="楷体" w:hAnsi="楷体" w:eastAsia="楷体" w:cs="楷体"/>
          <w:sz w:val="24"/>
          <w:szCs w:val="24"/>
        </w:rPr>
        <w:t>（采购编号为：</w:t>
      </w:r>
      <w:r>
        <w:rPr>
          <w:rFonts w:hint="eastAsia" w:ascii="楷体" w:hAnsi="楷体" w:eastAsia="楷体" w:cs="楷体"/>
          <w:sz w:val="24"/>
          <w:szCs w:val="24"/>
          <w:lang w:eastAsia="zh-CN"/>
        </w:rPr>
        <w:t>JY20200</w:t>
      </w:r>
      <w:r>
        <w:rPr>
          <w:rFonts w:hint="eastAsia" w:ascii="楷体" w:hAnsi="楷体" w:eastAsia="楷体" w:cs="楷体"/>
          <w:sz w:val="24"/>
          <w:szCs w:val="24"/>
          <w:lang w:val="en-US" w:eastAsia="zh-CN"/>
        </w:rPr>
        <w:t>72</w:t>
      </w:r>
      <w:bookmarkStart w:id="140" w:name="_GoBack"/>
      <w:bookmarkEnd w:id="140"/>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日期：                  </w:t>
      </w:r>
      <w:bookmarkStart w:id="84" w:name="_Toc2237"/>
      <w:bookmarkStart w:id="85" w:name="_Toc27417"/>
    </w:p>
    <w:bookmarkEnd w:id="84"/>
    <w:bookmarkEnd w:id="85"/>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2"/>
      </w:pPr>
    </w:p>
    <w:p>
      <w:pPr>
        <w:pStyle w:val="4"/>
        <w:bidi w:val="0"/>
        <w:jc w:val="center"/>
        <w:rPr>
          <w:rFonts w:hint="eastAsia" w:ascii="Arial" w:hAnsi="Arial"/>
          <w:b/>
        </w:rPr>
      </w:pPr>
      <w:bookmarkStart w:id="86" w:name="_Toc17846"/>
      <w:bookmarkStart w:id="87" w:name="_Toc4264"/>
      <w:r>
        <w:rPr>
          <w:rFonts w:hint="eastAsia" w:ascii="Arial" w:hAnsi="Arial"/>
          <w:b/>
        </w:rPr>
        <w:t>二、报价表</w:t>
      </w:r>
      <w:bookmarkEnd w:id="86"/>
      <w:bookmarkEnd w:id="87"/>
    </w:p>
    <w:p>
      <w:pPr>
        <w:pStyle w:val="11"/>
        <w:ind w:firstLine="210"/>
      </w:pPr>
    </w:p>
    <w:tbl>
      <w:tblPr>
        <w:tblStyle w:val="12"/>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8"/>
        <w:gridCol w:w="5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8"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339" w:type="dxa"/>
            <w:noWrap w:val="0"/>
            <w:vAlign w:val="center"/>
          </w:tcPr>
          <w:p>
            <w:pPr>
              <w:adjustRightInd w:val="0"/>
              <w:snapToGrid w:val="0"/>
              <w:jc w:val="left"/>
              <w:rPr>
                <w:rFonts w:ascii="楷体" w:hAnsi="楷体" w:eastAsia="楷体" w:cs="楷体"/>
                <w:sz w:val="24"/>
                <w:szCs w:val="24"/>
              </w:rPr>
            </w:pPr>
            <w:r>
              <w:rPr>
                <w:rFonts w:hint="eastAsia" w:ascii="楷体" w:hAnsi="楷体" w:eastAsia="楷体" w:cs="楷体"/>
                <w:sz w:val="24"/>
                <w:szCs w:val="24"/>
              </w:rPr>
              <w:t xml:space="preserve">南京交通职业技术学院 </w:t>
            </w:r>
            <w:r>
              <w:rPr>
                <w:rFonts w:hint="eastAsia" w:ascii="楷体" w:hAnsi="楷体" w:eastAsia="楷体" w:cs="楷体"/>
                <w:sz w:val="24"/>
                <w:szCs w:val="24"/>
                <w:lang w:eastAsia="zh-CN"/>
              </w:rPr>
              <w:t>学校网络建设项目监理</w:t>
            </w:r>
            <w:r>
              <w:rPr>
                <w:rFonts w:hint="eastAsia" w:ascii="楷体" w:hAnsi="楷体" w:eastAsia="楷体" w:cs="楷体"/>
                <w:sz w:val="24"/>
                <w:szCs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3078"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339" w:type="dxa"/>
            <w:noWrap w:val="0"/>
            <w:vAlign w:val="center"/>
          </w:tcPr>
          <w:p>
            <w:pPr>
              <w:adjustRightInd w:val="0"/>
              <w:snapToGrid w:val="0"/>
              <w:jc w:val="left"/>
              <w:rPr>
                <w:rFonts w:hint="default" w:ascii="楷体" w:hAnsi="楷体" w:eastAsia="楷体" w:cs="楷体"/>
                <w:sz w:val="24"/>
                <w:szCs w:val="24"/>
                <w:lang w:val="en-US" w:eastAsia="zh-CN"/>
              </w:rPr>
            </w:pPr>
            <w:r>
              <w:rPr>
                <w:rFonts w:hint="eastAsia" w:ascii="楷体" w:hAnsi="楷体" w:eastAsia="楷体" w:cs="楷体"/>
                <w:b/>
                <w:bCs/>
                <w:sz w:val="24"/>
                <w:szCs w:val="24"/>
                <w:lang w:eastAsia="zh-CN"/>
              </w:rPr>
              <w:t>JY20200</w:t>
            </w:r>
            <w:r>
              <w:rPr>
                <w:rFonts w:hint="eastAsia" w:ascii="楷体" w:hAnsi="楷体" w:eastAsia="楷体" w:cs="楷体"/>
                <w:b/>
                <w:bCs/>
                <w:sz w:val="24"/>
                <w:szCs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3078"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339"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总报价小写：</w:t>
            </w:r>
            <w:r>
              <w:rPr>
                <w:rFonts w:hint="eastAsia" w:ascii="楷体" w:hAnsi="楷体" w:eastAsia="楷体" w:cs="楷体"/>
                <w:sz w:val="24"/>
                <w:szCs w:val="24"/>
                <w:u w:val="single"/>
              </w:rPr>
              <w:t>　　        　 </w:t>
            </w:r>
            <w:r>
              <w:rPr>
                <w:rFonts w:hint="eastAsia" w:ascii="楷体" w:hAnsi="楷体" w:eastAsia="楷体" w:cs="楷体"/>
                <w:sz w:val="24"/>
                <w:szCs w:val="24"/>
              </w:rPr>
              <w:t xml:space="preserve"> 元</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88" w:name="_Toc6890"/>
      <w:bookmarkStart w:id="89" w:name="_Toc5613"/>
      <w:bookmarkStart w:id="90" w:name="_Toc12366"/>
      <w:bookmarkStart w:id="91" w:name="_Toc818"/>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rPr>
        <w:t>（</w:t>
      </w:r>
      <w:r>
        <w:rPr>
          <w:rFonts w:ascii="仿宋" w:hAnsi="仿宋" w:eastAsia="仿宋" w:cs="仿宋"/>
          <w:color w:val="000000"/>
          <w:sz w:val="24"/>
        </w:rPr>
        <w:t>1</w:t>
      </w:r>
      <w:r>
        <w:rPr>
          <w:rFonts w:hint="eastAsia" w:ascii="仿宋" w:hAnsi="仿宋" w:eastAsia="仿宋" w:cs="仿宋"/>
          <w:color w:val="000000"/>
          <w:sz w:val="24"/>
        </w:rPr>
        <w:t>）相应总报价应包含本项目服务期间的所有含税费用，</w:t>
      </w:r>
      <w:r>
        <w:rPr>
          <w:rFonts w:hint="eastAsia" w:ascii="仿宋" w:hAnsi="仿宋" w:eastAsia="仿宋" w:cs="仿宋"/>
          <w:color w:val="000000"/>
          <w:sz w:val="24"/>
          <w:szCs w:val="24"/>
        </w:rPr>
        <w:t>包括但不仅限于人员费用（12个月工资、全年福利、培训、体检、社会保险、加班费等），服务所用设备、工具购置及维护费用，服务所用材料消耗费用、管理费用、利润、税金等支出。</w:t>
      </w:r>
    </w:p>
    <w:p>
      <w:pPr>
        <w:tabs>
          <w:tab w:val="left" w:pos="142"/>
        </w:tabs>
        <w:spacing w:line="500" w:lineRule="exact"/>
        <w:ind w:firstLine="480" w:firstLineChars="200"/>
        <w:jc w:val="left"/>
        <w:rPr>
          <w:rFonts w:hint="eastAsia" w:ascii="仿宋" w:hAnsi="仿宋" w:eastAsia="仿宋" w:cs="仿宋"/>
          <w:color w:val="000000"/>
          <w:sz w:val="24"/>
          <w:lang w:val="zh-CN"/>
        </w:rPr>
      </w:pPr>
      <w:r>
        <w:rPr>
          <w:rFonts w:hint="eastAsia" w:ascii="仿宋" w:hAnsi="仿宋" w:eastAsia="仿宋" w:cs="仿宋"/>
          <w:color w:val="000000"/>
          <w:sz w:val="24"/>
          <w:lang w:val="zh-CN"/>
        </w:rPr>
        <w:t>（</w:t>
      </w:r>
      <w:r>
        <w:rPr>
          <w:rFonts w:ascii="仿宋" w:hAnsi="仿宋" w:eastAsia="仿宋" w:cs="仿宋"/>
          <w:color w:val="000000"/>
          <w:sz w:val="24"/>
        </w:rPr>
        <w:t>2</w:t>
      </w:r>
      <w:r>
        <w:rPr>
          <w:rFonts w:hint="eastAsia" w:ascii="仿宋" w:hAnsi="仿宋" w:eastAsia="仿宋" w:cs="仿宋"/>
          <w:color w:val="000000"/>
          <w:sz w:val="24"/>
          <w:lang w:val="zh-CN"/>
        </w:rPr>
        <w:t>）</w:t>
      </w:r>
      <w:r>
        <w:rPr>
          <w:rFonts w:hint="eastAsia" w:ascii="仿宋" w:hAnsi="仿宋" w:eastAsia="仿宋" w:cs="仿宋"/>
          <w:color w:val="000000"/>
          <w:sz w:val="24"/>
        </w:rPr>
        <w:t>相应</w:t>
      </w:r>
      <w:r>
        <w:rPr>
          <w:rFonts w:hint="eastAsia" w:ascii="仿宋" w:hAnsi="仿宋" w:eastAsia="仿宋" w:cs="仿宋"/>
          <w:color w:val="000000"/>
          <w:sz w:val="24"/>
          <w:lang w:val="zh-CN"/>
        </w:rPr>
        <w:t>商不得实质性改动开标一览表格式及内容。</w:t>
      </w:r>
      <w:bookmarkStart w:id="92" w:name="_Toc14915"/>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（3）磋商文件未列明，而响应商认为必需的费用也需列入报价。</w:t>
      </w:r>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（4）报价是一年价格，本报价必须充分考虑所有可能影响到报价的价格因素，一旦响应结束最终成交，总价将包定，合同期内一般不予调整。如发生漏、缺、少项，都将被认为是成交商的报价让利行为。</w:t>
      </w:r>
    </w:p>
    <w:p>
      <w:pPr>
        <w:tabs>
          <w:tab w:val="left" w:pos="142"/>
        </w:tabs>
        <w:spacing w:line="500" w:lineRule="exact"/>
        <w:ind w:firstLine="480" w:firstLineChars="200"/>
        <w:jc w:val="left"/>
        <w:rPr>
          <w:rFonts w:hint="eastAsia" w:ascii="仿宋" w:hAnsi="仿宋" w:eastAsia="仿宋" w:cs="仿宋"/>
          <w:color w:val="000000"/>
          <w:sz w:val="24"/>
          <w:szCs w:val="24"/>
        </w:rPr>
      </w:pPr>
    </w:p>
    <w:bookmarkEnd w:id="92"/>
    <w:p>
      <w:pPr>
        <w:pStyle w:val="24"/>
        <w:numPr>
          <w:ilvl w:val="0"/>
          <w:numId w:val="0"/>
        </w:numPr>
        <w:jc w:val="center"/>
        <w:outlineLvl w:val="9"/>
        <w:rPr>
          <w:rFonts w:hint="eastAsia" w:ascii="楷体" w:hAnsi="楷体" w:eastAsia="楷体" w:cs="楷体"/>
        </w:rPr>
      </w:pPr>
    </w:p>
    <w:p>
      <w:pPr>
        <w:pStyle w:val="24"/>
        <w:numPr>
          <w:ilvl w:val="0"/>
          <w:numId w:val="0"/>
        </w:numPr>
        <w:jc w:val="center"/>
        <w:outlineLvl w:val="9"/>
        <w:rPr>
          <w:rFonts w:hint="eastAsia" w:ascii="楷体" w:hAnsi="楷体" w:eastAsia="楷体" w:cs="楷体"/>
        </w:rPr>
      </w:pPr>
    </w:p>
    <w:p>
      <w:pPr>
        <w:pStyle w:val="24"/>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11"/>
        <w:ind w:firstLine="211"/>
        <w:rPr>
          <w:rFonts w:hint="eastAsia" w:ascii="楷体" w:hAnsi="楷体" w:eastAsia="楷体" w:cs="楷体"/>
          <w:b/>
          <w:bCs/>
        </w:rPr>
      </w:pPr>
    </w:p>
    <w:p>
      <w:pPr>
        <w:pStyle w:val="11"/>
        <w:ind w:firstLine="211"/>
        <w:rPr>
          <w:rFonts w:hint="eastAsia" w:ascii="楷体" w:hAnsi="楷体" w:eastAsia="楷体" w:cs="楷体"/>
          <w:b/>
          <w:bCs/>
        </w:rPr>
      </w:pPr>
    </w:p>
    <w:p>
      <w:pPr>
        <w:pStyle w:val="11"/>
        <w:ind w:firstLine="211"/>
        <w:rPr>
          <w:rFonts w:hint="eastAsia" w:ascii="楷体" w:hAnsi="楷体" w:eastAsia="楷体" w:cs="楷体"/>
          <w:b/>
          <w:bCs/>
        </w:rPr>
      </w:pPr>
    </w:p>
    <w:p>
      <w:pPr>
        <w:pStyle w:val="24"/>
        <w:numPr>
          <w:ilvl w:val="0"/>
          <w:numId w:val="0"/>
        </w:numPr>
        <w:jc w:val="center"/>
        <w:outlineLvl w:val="9"/>
        <w:rPr>
          <w:rFonts w:hint="eastAsia" w:ascii="楷体" w:hAnsi="楷体" w:eastAsia="楷体" w:cs="楷体"/>
        </w:rPr>
      </w:pPr>
    </w:p>
    <w:bookmarkEnd w:id="88"/>
    <w:p>
      <w:pPr>
        <w:pStyle w:val="4"/>
        <w:bidi w:val="0"/>
        <w:jc w:val="center"/>
        <w:rPr>
          <w:rFonts w:hint="eastAsia" w:ascii="Arial" w:hAnsi="Arial"/>
          <w:b/>
        </w:rPr>
      </w:pPr>
      <w:bookmarkStart w:id="93" w:name="_Toc8031"/>
      <w:bookmarkStart w:id="94" w:name="_Toc1752"/>
      <w:bookmarkStart w:id="95" w:name="_Toc25862"/>
      <w:bookmarkStart w:id="96" w:name="_Toc32133"/>
      <w:bookmarkStart w:id="97" w:name="_Toc448482858"/>
      <w:bookmarkStart w:id="98" w:name="_Toc365968485"/>
      <w:bookmarkStart w:id="99" w:name="_Toc16074"/>
      <w:bookmarkStart w:id="100" w:name="_Toc351733250"/>
      <w:r>
        <w:rPr>
          <w:rFonts w:hint="eastAsia" w:ascii="Arial" w:hAnsi="Arial"/>
          <w:b/>
        </w:rPr>
        <w:t>三、服务要求响应表</w:t>
      </w:r>
      <w:bookmarkEnd w:id="93"/>
      <w:bookmarkEnd w:id="94"/>
      <w:bookmarkEnd w:id="95"/>
      <w:bookmarkEnd w:id="96"/>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4"/>
        <w:bidi w:val="0"/>
        <w:jc w:val="center"/>
        <w:rPr>
          <w:rFonts w:hint="eastAsia" w:ascii="Arial" w:hAnsi="Arial"/>
          <w:b/>
        </w:rPr>
      </w:pPr>
      <w:bookmarkStart w:id="101" w:name="_Toc27516"/>
      <w:bookmarkStart w:id="102" w:name="_Toc25918"/>
      <w:r>
        <w:rPr>
          <w:rFonts w:hint="eastAsia" w:ascii="Arial" w:hAnsi="Arial"/>
          <w:b/>
        </w:rPr>
        <w:t>四、服务方案</w:t>
      </w:r>
      <w:bookmarkEnd w:id="101"/>
      <w:bookmarkEnd w:id="102"/>
    </w:p>
    <w:p>
      <w:pPr>
        <w:jc w:val="center"/>
        <w:rPr>
          <w:rFonts w:hint="eastAsia" w:ascii="楷体" w:hAnsi="楷体" w:eastAsia="楷体" w:cs="楷体"/>
          <w:b/>
          <w:sz w:val="24"/>
        </w:rPr>
      </w:pPr>
      <w:r>
        <w:rPr>
          <w:rFonts w:hint="eastAsia" w:ascii="楷体" w:hAnsi="楷体" w:eastAsia="楷体" w:cs="楷体"/>
          <w:b/>
          <w:sz w:val="24"/>
        </w:rPr>
        <w:t>（格式自定）</w:t>
      </w:r>
    </w:p>
    <w:bookmarkEnd w:id="97"/>
    <w:bookmarkEnd w:id="98"/>
    <w:bookmarkEnd w:id="99"/>
    <w:bookmarkEnd w:id="100"/>
    <w:p>
      <w:pPr>
        <w:pStyle w:val="24"/>
        <w:numPr>
          <w:ilvl w:val="0"/>
          <w:numId w:val="0"/>
        </w:numPr>
        <w:jc w:val="center"/>
        <w:rPr>
          <w:rFonts w:hint="eastAsia" w:ascii="楷体" w:hAnsi="楷体" w:eastAsia="楷体" w:cs="楷体"/>
        </w:rPr>
      </w:pPr>
      <w:bookmarkStart w:id="103" w:name="_Toc25230"/>
      <w:bookmarkStart w:id="104" w:name="_Toc32325"/>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bookmarkEnd w:id="103"/>
    <w:bookmarkEnd w:id="104"/>
    <w:p>
      <w:pPr>
        <w:pStyle w:val="4"/>
        <w:bidi w:val="0"/>
        <w:jc w:val="center"/>
        <w:rPr>
          <w:rFonts w:hint="eastAsia" w:ascii="Arial" w:hAnsi="Arial"/>
          <w:b/>
        </w:rPr>
      </w:pPr>
      <w:bookmarkStart w:id="105" w:name="_Toc25699"/>
      <w:bookmarkStart w:id="106" w:name="_Toc5890"/>
      <w:bookmarkStart w:id="107" w:name="_Toc26771"/>
      <w:bookmarkStart w:id="108" w:name="_Toc21836"/>
      <w:r>
        <w:rPr>
          <w:rFonts w:hint="eastAsia" w:ascii="Arial" w:hAnsi="Arial"/>
          <w:b/>
        </w:rPr>
        <w:t>五、企业资质</w:t>
      </w:r>
      <w:bookmarkEnd w:id="105"/>
      <w:bookmarkEnd w:id="106"/>
      <w:bookmarkEnd w:id="107"/>
      <w:bookmarkEnd w:id="108"/>
    </w:p>
    <w:p>
      <w:pPr>
        <w:jc w:val="center"/>
        <w:rPr>
          <w:rFonts w:ascii="仿宋" w:hAnsi="仿宋" w:eastAsia="仿宋" w:cs="宋体"/>
          <w:b/>
          <w:color w:val="000000"/>
          <w:kern w:val="0"/>
          <w:sz w:val="24"/>
          <w:szCs w:val="24"/>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rPr>
          <w:rFonts w:hint="eastAsia"/>
        </w:rPr>
      </w:pPr>
    </w:p>
    <w:p>
      <w:pPr>
        <w:pStyle w:val="24"/>
        <w:numPr>
          <w:ilvl w:val="0"/>
          <w:numId w:val="0"/>
        </w:numPr>
        <w:rPr>
          <w:rFonts w:hint="eastAsia" w:ascii="楷体" w:hAnsi="楷体" w:eastAsia="楷体" w:cs="楷体"/>
        </w:rPr>
      </w:pPr>
    </w:p>
    <w:p>
      <w:pPr>
        <w:pStyle w:val="4"/>
        <w:bidi w:val="0"/>
        <w:jc w:val="center"/>
        <w:rPr>
          <w:rFonts w:hint="eastAsia" w:ascii="Arial" w:hAnsi="Arial"/>
          <w:b/>
          <w:lang w:val="en-US" w:eastAsia="zh-CN"/>
        </w:rPr>
      </w:pPr>
      <w:bookmarkStart w:id="109" w:name="_Toc20851"/>
      <w:bookmarkStart w:id="110" w:name="_Toc20453"/>
      <w:r>
        <w:rPr>
          <w:rFonts w:hint="eastAsia" w:ascii="Arial" w:hAnsi="Arial"/>
          <w:b/>
          <w:lang w:val="en-US" w:eastAsia="zh-CN"/>
        </w:rPr>
        <w:t>六、合同条款及格式</w:t>
      </w:r>
      <w:bookmarkEnd w:id="109"/>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甲方:</w:t>
      </w:r>
      <w:bookmarkStart w:id="111" w:name="purchase_name"/>
      <w:bookmarkEnd w:id="111"/>
      <w:r>
        <w:rPr>
          <w:rFonts w:hint="eastAsia" w:ascii="楷体" w:hAnsi="楷体" w:eastAsia="楷体" w:cs="楷体"/>
          <w:sz w:val="24"/>
          <w:szCs w:val="24"/>
        </w:rPr>
        <w:t>南京交通职业技术学院</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 xml:space="preserve">乙方: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宋体" w:hAnsi="宋体"/>
          <w:sz w:val="24"/>
        </w:rPr>
      </w:pPr>
      <w:r>
        <w:rPr>
          <w:rFonts w:hint="eastAsia" w:ascii="楷体" w:hAnsi="楷体" w:eastAsia="楷体" w:cs="楷体"/>
          <w:sz w:val="24"/>
          <w:szCs w:val="24"/>
        </w:rPr>
        <w:t>甲乙双方根据</w:t>
      </w:r>
      <w:r>
        <w:rPr>
          <w:rFonts w:hint="eastAsia" w:ascii="楷体" w:hAnsi="楷体" w:eastAsia="楷体" w:cs="楷体"/>
          <w:sz w:val="24"/>
          <w:szCs w:val="24"/>
          <w:lang w:val="en-US" w:eastAsia="zh-CN"/>
        </w:rPr>
        <w:t xml:space="preserve"> </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年</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月</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日（采购编号：</w:t>
      </w:r>
      <w:r>
        <w:rPr>
          <w:rFonts w:hint="eastAsia" w:ascii="楷体" w:hAnsi="楷体" w:eastAsia="楷体" w:cs="楷体"/>
          <w:sz w:val="24"/>
          <w:szCs w:val="24"/>
          <w:lang w:eastAsia="zh-CN"/>
        </w:rPr>
        <w:t>JY20200</w:t>
      </w:r>
      <w:r>
        <w:rPr>
          <w:rFonts w:hint="eastAsia" w:ascii="楷体" w:hAnsi="楷体" w:eastAsia="楷体" w:cs="楷体"/>
          <w:sz w:val="24"/>
          <w:szCs w:val="24"/>
          <w:lang w:val="en-US" w:eastAsia="zh-CN"/>
        </w:rPr>
        <w:t>72</w:t>
      </w:r>
      <w:r>
        <w:rPr>
          <w:rFonts w:hint="eastAsia" w:ascii="楷体" w:hAnsi="楷体" w:eastAsia="楷体" w:cs="楷体"/>
          <w:sz w:val="24"/>
          <w:szCs w:val="24"/>
        </w:rPr>
        <w:t>）南京交通职业技术学院</w:t>
      </w:r>
      <w:r>
        <w:rPr>
          <w:rFonts w:hint="eastAsia" w:ascii="楷体" w:hAnsi="楷体" w:eastAsia="楷体" w:cs="楷体"/>
          <w:sz w:val="24"/>
          <w:szCs w:val="24"/>
          <w:lang w:eastAsia="zh-CN"/>
        </w:rPr>
        <w:t>学校网络建设项目监理</w:t>
      </w:r>
      <w:r>
        <w:rPr>
          <w:rFonts w:hint="eastAsia" w:ascii="楷体" w:hAnsi="楷体" w:eastAsia="楷体" w:cs="楷体"/>
          <w:sz w:val="24"/>
          <w:szCs w:val="24"/>
        </w:rPr>
        <w:t>项目采购结果及磋商文件的要求,经协商一致,达成如下购销合同: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黑体" w:hAnsi="黑体" w:eastAsia="黑体" w:cs="黑体"/>
          <w:b/>
          <w:bCs/>
          <w:sz w:val="24"/>
          <w:lang w:eastAsia="zh-CN"/>
        </w:rPr>
      </w:pPr>
      <w:r>
        <w:rPr>
          <w:rFonts w:hint="eastAsia" w:ascii="黑体" w:hAnsi="黑体" w:eastAsia="黑体" w:cs="黑体"/>
          <w:sz w:val="24"/>
        </w:rPr>
        <w:t>一、</w:t>
      </w:r>
      <w:r>
        <w:rPr>
          <w:rFonts w:hint="eastAsia" w:ascii="黑体" w:hAnsi="黑体" w:eastAsia="黑体" w:cs="黑体"/>
          <w:b/>
          <w:bCs/>
          <w:sz w:val="24"/>
        </w:rPr>
        <w:t>采购标的</w:t>
      </w:r>
      <w:r>
        <w:rPr>
          <w:rFonts w:hint="eastAsia" w:ascii="黑体" w:hAnsi="黑体" w:eastAsia="黑体" w:cs="黑体"/>
          <w:b/>
          <w:bCs/>
          <w:sz w:val="24"/>
          <w:lang w:eastAsia="zh-CN"/>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 xml:space="preserve">1、项目名称：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仿宋" w:hAnsi="仿宋" w:eastAsia="仿宋" w:cs="仿宋"/>
          <w:sz w:val="24"/>
        </w:rPr>
      </w:pPr>
      <w:r>
        <w:rPr>
          <w:rFonts w:hint="eastAsia" w:ascii="楷体" w:hAnsi="楷体" w:eastAsia="楷体" w:cs="楷体"/>
          <w:sz w:val="24"/>
          <w:szCs w:val="24"/>
        </w:rPr>
        <w:t>2、服务内容：参照磋商文件的具体要求</w:t>
      </w:r>
      <w:r>
        <w:rPr>
          <w:rFonts w:hint="eastAsia" w:ascii="仿宋" w:hAnsi="仿宋" w:eastAsia="仿宋" w:cs="仿宋"/>
          <w:sz w:val="24"/>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仿宋" w:hAnsi="仿宋" w:eastAsia="仿宋" w:cs="仿宋"/>
          <w:sz w:val="24"/>
          <w:highlight w:val="yellow"/>
        </w:rPr>
      </w:pPr>
      <w:r>
        <w:rPr>
          <w:rFonts w:hint="eastAsia" w:ascii="黑体" w:hAnsi="黑体" w:eastAsia="黑体" w:cs="黑体"/>
          <w:b/>
          <w:bCs/>
          <w:sz w:val="24"/>
        </w:rPr>
        <w:t>二、服务期限：</w:t>
      </w:r>
    </w:p>
    <w:p>
      <w:pPr>
        <w:keepNext w:val="0"/>
        <w:keepLines w:val="0"/>
        <w:pageBreakBefore w:val="0"/>
        <w:widowControl/>
        <w:numPr>
          <w:ilvl w:val="0"/>
          <w:numId w:val="4"/>
        </w:numPr>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服务价格：</w:t>
      </w:r>
    </w:p>
    <w:p>
      <w:pPr>
        <w:keepNext w:val="0"/>
        <w:keepLines w:val="0"/>
        <w:pageBreakBefore w:val="0"/>
        <w:widowControl/>
        <w:numPr>
          <w:ilvl w:val="0"/>
          <w:numId w:val="4"/>
        </w:numPr>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合同履行：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五、履约保证金：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1、乙方在签订本合同时其投标保证金自动转为履约保证金。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2、履约保证金的有效期为该项目免费维护期满时止。</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3、如乙方未能履行合同规定的义务，甲方有权从履约保证金中取得补偿。</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lang w:eastAsia="zh-CN"/>
        </w:rPr>
      </w:pPr>
      <w:r>
        <w:rPr>
          <w:rFonts w:hint="eastAsia" w:ascii="楷体" w:hAnsi="楷体" w:eastAsia="楷体" w:cs="楷体"/>
          <w:sz w:val="24"/>
          <w:szCs w:val="24"/>
        </w:rPr>
        <w:t>4、履约保证金扣除甲方应得的补偿后的余额在有效期满后七个工作日内无息退还给乙方</w:t>
      </w:r>
      <w:r>
        <w:rPr>
          <w:rFonts w:hint="eastAsia" w:ascii="楷体" w:hAnsi="楷体" w:eastAsia="楷体" w:cs="楷体"/>
          <w:sz w:val="24"/>
          <w:szCs w:val="24"/>
          <w:lang w:eastAsia="zh-CN"/>
        </w:rPr>
        <w:t>。</w:t>
      </w:r>
    </w:p>
    <w:p>
      <w:pPr>
        <w:keepNext w:val="0"/>
        <w:keepLines w:val="0"/>
        <w:pageBreakBefore w:val="0"/>
        <w:kinsoku/>
        <w:wordWrap/>
        <w:overflowPunct/>
        <w:topLinePunct w:val="0"/>
        <w:autoSpaceDE/>
        <w:autoSpaceDN/>
        <w:bidi w:val="0"/>
        <w:adjustRightInd/>
        <w:spacing w:line="240" w:lineRule="auto"/>
        <w:textAlignment w:val="auto"/>
        <w:rPr>
          <w:rFonts w:ascii="仿宋" w:hAnsi="仿宋" w:eastAsia="仿宋" w:cs="仿宋"/>
          <w:sz w:val="24"/>
        </w:rPr>
      </w:pPr>
      <w:r>
        <w:rPr>
          <w:rFonts w:hint="eastAsia" w:ascii="黑体" w:hAnsi="黑体" w:eastAsia="黑体" w:cs="黑体"/>
          <w:b/>
          <w:bCs/>
          <w:sz w:val="24"/>
        </w:rPr>
        <w:t>六、付款</w:t>
      </w:r>
      <w:r>
        <w:rPr>
          <w:rFonts w:hint="eastAsia" w:ascii="黑体" w:hAnsi="黑体" w:eastAsia="黑体" w:cs="黑体"/>
          <w:sz w:val="24"/>
        </w:rPr>
        <w:t>：</w:t>
      </w:r>
      <w:r>
        <w:rPr>
          <w:rFonts w:ascii="仿宋" w:hAnsi="仿宋" w:eastAsia="仿宋" w:cs="仿宋"/>
          <w:sz w:val="24"/>
        </w:rPr>
        <w:t xml:space="preserve">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自合同签订后、</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r>
        <w:rPr>
          <w:rFonts w:hint="eastAsia" w:ascii="楷体" w:hAnsi="楷体" w:eastAsia="楷体" w:cs="楷体"/>
          <w:sz w:val="24"/>
          <w:szCs w:val="24"/>
        </w:rPr>
        <w:t>结束时启动付款程序，具体如下：</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1、经甲方验收合格并签署维修保养记录后，由乙方开具发票向甲方进行请款，甲方核对无误将年保养费用总额的</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%，即人民币</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元付至乙方指定帐户；</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移机费及更换材料费由乙方向甲方提出结算申请。乙方提供经甲方使用部门确认的移机清单、更换材料费用清单及其他原始单据凭证，甲方按照实际发生数量核算无误后给乙方结算。乙方开具相关发票后，甲方按时付款。</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七、违约责任</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1、甲方未按合同规定的期限向乙方支付合同款的，每逾期1天甲方向乙方偿付欠款总额的5‰滞纳金，但累计滞纳金总额不超过欠款总额的5％。</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2、如乙方不能按照规定要求完成服务，甲方有权暂扣合同款直至完成服务；同时乙方应向甲方支付合同总价5％的违约金。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3、乙方所提供的服务不符合合同规定的，甲方有权拒付合同款。</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4、乙方虚假承诺，或经权威部门监测不能满足文件要求，或是由于乙方的过错造成合同无法继续履行的，除扣除未完成的服务合同款外，还应向甲方支付不少于合同总价30％赔偿金。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黑体" w:hAnsi="黑体" w:eastAsia="黑体" w:cs="黑体"/>
          <w:b/>
          <w:sz w:val="24"/>
          <w:lang w:val="zh-CN"/>
        </w:rPr>
        <w:t>八、合同纠纷处理：</w:t>
      </w:r>
      <w:r>
        <w:rPr>
          <w:rFonts w:hint="eastAsia" w:ascii="楷体" w:hAnsi="楷体" w:eastAsia="楷体" w:cs="楷体"/>
          <w:sz w:val="24"/>
          <w:szCs w:val="24"/>
        </w:rPr>
        <w:t>本合同执行过程中发生纠纷，由甲乙双方协商解决，若协商不成，作如下</w:t>
      </w:r>
      <w:r>
        <w:rPr>
          <w:rFonts w:hint="eastAsia" w:ascii="楷体" w:hAnsi="楷体" w:eastAsia="楷体" w:cs="楷体"/>
          <w:sz w:val="24"/>
          <w:szCs w:val="24"/>
          <w:lang w:val="en-US" w:eastAsia="zh-CN"/>
        </w:rPr>
        <w:t xml:space="preserve"> </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处理：</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1、申请仲裁。选定仲裁机构为江苏省仲裁委员会。</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宋体" w:hAnsi="宋体"/>
          <w:sz w:val="24"/>
        </w:rPr>
      </w:pPr>
      <w:r>
        <w:rPr>
          <w:rFonts w:hint="eastAsia" w:ascii="楷体" w:hAnsi="楷体" w:eastAsia="楷体" w:cs="楷体"/>
          <w:sz w:val="24"/>
          <w:szCs w:val="24"/>
        </w:rPr>
        <w:t>2、提起诉讼。约定由甲方所在地江苏省人民法院管辖。</w:t>
      </w:r>
    </w:p>
    <w:p>
      <w:pPr>
        <w:keepNext w:val="0"/>
        <w:keepLines w:val="0"/>
        <w:pageBreakBefore w:val="0"/>
        <w:kinsoku/>
        <w:wordWrap/>
        <w:overflowPunct/>
        <w:topLinePunct w:val="0"/>
        <w:autoSpaceDE/>
        <w:autoSpaceDN/>
        <w:bidi w:val="0"/>
        <w:adjustRightInd/>
        <w:spacing w:line="240" w:lineRule="auto"/>
        <w:textAlignment w:val="auto"/>
        <w:rPr>
          <w:rFonts w:ascii="仿宋" w:hAnsi="仿宋" w:eastAsia="仿宋" w:cs="仿宋"/>
          <w:sz w:val="24"/>
        </w:rPr>
      </w:pPr>
      <w:r>
        <w:rPr>
          <w:rFonts w:hint="eastAsia" w:ascii="黑体" w:hAnsi="黑体" w:eastAsia="黑体" w:cs="黑体"/>
          <w:b/>
          <w:sz w:val="24"/>
          <w:lang w:val="zh-CN"/>
        </w:rPr>
        <w:t>九、合同生效：</w:t>
      </w:r>
      <w:r>
        <w:rPr>
          <w:rFonts w:hint="eastAsia" w:ascii="楷体" w:hAnsi="楷体" w:eastAsia="楷体" w:cs="楷体"/>
          <w:sz w:val="24"/>
          <w:szCs w:val="24"/>
        </w:rPr>
        <w:t>本合同由甲乙双方签字盖章后生效。</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十、合同鉴证：</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十一、组成本合同的文件包括：</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（一）合同通用条款及补充条款；</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（二）磋商文件和乙方的响应文件；</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（三）中标通知书；</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（四）甲乙双方商定的其他必要文件。</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上述合同文件内容互为补充，如有不明确，由甲方负责解释。</w:t>
      </w:r>
    </w:p>
    <w:p>
      <w:pPr>
        <w:keepNext w:val="0"/>
        <w:keepLines w:val="0"/>
        <w:pageBreakBefore w:val="0"/>
        <w:numPr>
          <w:ilvl w:val="0"/>
          <w:numId w:val="5"/>
        </w:numPr>
        <w:kinsoku/>
        <w:wordWrap/>
        <w:overflowPunct/>
        <w:topLinePunct w:val="0"/>
        <w:autoSpaceDE/>
        <w:autoSpaceDN/>
        <w:bidi w:val="0"/>
        <w:adjustRightInd/>
        <w:spacing w:line="240" w:lineRule="auto"/>
        <w:textAlignment w:val="auto"/>
        <w:rPr>
          <w:rFonts w:hint="eastAsia" w:ascii="黑体" w:hAnsi="黑体" w:eastAsia="黑体" w:cs="黑体"/>
          <w:b/>
          <w:sz w:val="24"/>
          <w:lang w:val="zh-CN"/>
        </w:rPr>
      </w:pPr>
      <w:r>
        <w:rPr>
          <w:rFonts w:hint="eastAsia" w:ascii="黑体" w:hAnsi="黑体" w:eastAsia="黑体" w:cs="黑体"/>
          <w:b/>
          <w:sz w:val="24"/>
          <w:lang w:val="zh-CN"/>
        </w:rPr>
        <w:t>合同备案：</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lang w:eastAsia="zh-CN"/>
        </w:rPr>
      </w:pPr>
      <w:r>
        <w:rPr>
          <w:rFonts w:hint="eastAsia" w:ascii="楷体" w:hAnsi="楷体" w:eastAsia="楷体" w:cs="楷体"/>
          <w:sz w:val="24"/>
          <w:szCs w:val="24"/>
        </w:rPr>
        <w:t>本合同一式</w:t>
      </w:r>
      <w:r>
        <w:rPr>
          <w:rFonts w:hint="eastAsia" w:ascii="楷体" w:hAnsi="楷体" w:eastAsia="楷体" w:cs="楷体"/>
          <w:sz w:val="24"/>
          <w:szCs w:val="24"/>
          <w:lang w:val="en-US" w:eastAsia="zh-CN"/>
        </w:rPr>
        <w:t>四</w:t>
      </w:r>
      <w:r>
        <w:rPr>
          <w:rFonts w:hint="eastAsia" w:ascii="楷体" w:hAnsi="楷体" w:eastAsia="楷体" w:cs="楷体"/>
          <w:sz w:val="24"/>
          <w:szCs w:val="24"/>
        </w:rPr>
        <w:t>份，中文书写。甲乙方各执</w:t>
      </w:r>
      <w:r>
        <w:rPr>
          <w:rFonts w:hint="eastAsia" w:ascii="楷体" w:hAnsi="楷体" w:eastAsia="楷体" w:cs="楷体"/>
          <w:sz w:val="24"/>
          <w:szCs w:val="24"/>
          <w:lang w:val="en-US" w:eastAsia="zh-CN"/>
        </w:rPr>
        <w:t>两</w:t>
      </w:r>
      <w:r>
        <w:rPr>
          <w:rFonts w:hint="eastAsia" w:ascii="楷体" w:hAnsi="楷体" w:eastAsia="楷体" w:cs="楷体"/>
          <w:sz w:val="24"/>
          <w:szCs w:val="24"/>
        </w:rPr>
        <w:t>份</w:t>
      </w:r>
      <w:r>
        <w:rPr>
          <w:rFonts w:hint="eastAsia" w:ascii="楷体" w:hAnsi="楷体" w:eastAsia="楷体" w:cs="楷体"/>
          <w:sz w:val="24"/>
          <w:szCs w:val="24"/>
          <w:lang w:eastAsia="zh-CN"/>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甲方：</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地址：</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法定（授权）代表人：</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二〇二〇年    月    日</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乙方：</w:t>
      </w:r>
      <w:bookmarkStart w:id="112" w:name="suppliers_name_one"/>
      <w:bookmarkEnd w:id="112"/>
      <w:r>
        <w:rPr>
          <w:rFonts w:hint="eastAsia" w:ascii="楷体" w:hAnsi="楷体" w:eastAsia="楷体" w:cs="楷体"/>
          <w:sz w:val="24"/>
          <w:szCs w:val="24"/>
        </w:rPr>
        <w:t>（盖章）</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地址：</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法定（授权）代表人：</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二〇二〇年  月   日</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户名：</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开户银行：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账号：</w:t>
      </w:r>
    </w:p>
    <w:p>
      <w:pPr>
        <w:pStyle w:val="24"/>
        <w:numPr>
          <w:ilvl w:val="0"/>
          <w:numId w:val="0"/>
        </w:numPr>
        <w:ind w:leftChars="0"/>
        <w:rPr>
          <w:rFonts w:hint="eastAsia" w:ascii="楷体" w:hAnsi="楷体" w:eastAsia="楷体" w:cs="楷体"/>
        </w:rPr>
      </w:pPr>
    </w:p>
    <w:p>
      <w:pPr>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4"/>
        <w:bidi w:val="0"/>
        <w:jc w:val="center"/>
        <w:rPr>
          <w:rFonts w:hint="eastAsia" w:ascii="Arial" w:hAnsi="Arial"/>
          <w:b/>
        </w:rPr>
      </w:pPr>
      <w:bookmarkStart w:id="113" w:name="_Toc23738"/>
      <w:r>
        <w:rPr>
          <w:rFonts w:hint="eastAsia" w:ascii="Arial" w:hAnsi="Arial"/>
          <w:b/>
          <w:lang w:val="en-US" w:eastAsia="zh-CN"/>
        </w:rPr>
        <w:t>七、</w:t>
      </w:r>
      <w:r>
        <w:rPr>
          <w:rFonts w:hint="eastAsia" w:ascii="Arial" w:hAnsi="Arial"/>
          <w:b/>
        </w:rPr>
        <w:t>相关附表格式</w:t>
      </w:r>
      <w:bookmarkEnd w:id="89"/>
      <w:bookmarkEnd w:id="90"/>
      <w:bookmarkEnd w:id="91"/>
      <w:bookmarkEnd w:id="110"/>
      <w:bookmarkEnd w:id="113"/>
      <w:bookmarkStart w:id="114" w:name="_Toc30587"/>
    </w:p>
    <w:p>
      <w:pPr>
        <w:pStyle w:val="4"/>
        <w:bidi w:val="0"/>
        <w:jc w:val="center"/>
        <w:rPr>
          <w:rFonts w:hint="eastAsia" w:ascii="Arial" w:hAnsi="Arial"/>
          <w:b/>
        </w:rPr>
      </w:pPr>
      <w:bookmarkStart w:id="115" w:name="_Toc13019"/>
      <w:bookmarkStart w:id="116" w:name="_Toc19874"/>
      <w:bookmarkStart w:id="117" w:name="_Toc28944"/>
      <w:r>
        <w:rPr>
          <w:rFonts w:hint="eastAsia" w:ascii="Arial" w:hAnsi="Arial"/>
          <w:b/>
        </w:rPr>
        <w:t>附 件1：法人授权委托书</w:t>
      </w:r>
      <w:bookmarkEnd w:id="114"/>
      <w:bookmarkEnd w:id="115"/>
      <w:bookmarkEnd w:id="116"/>
      <w:bookmarkEnd w:id="117"/>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JY20200</w:t>
      </w:r>
      <w:r>
        <w:rPr>
          <w:rFonts w:hint="eastAsia" w:ascii="楷体" w:hAnsi="楷体" w:eastAsia="楷体" w:cs="楷体"/>
          <w:b/>
          <w:bCs/>
          <w:sz w:val="24"/>
          <w:szCs w:val="24"/>
          <w:lang w:val="en-US" w:eastAsia="zh-CN"/>
        </w:rPr>
        <w:t>72</w:t>
      </w:r>
      <w:r>
        <w:rPr>
          <w:rFonts w:hint="eastAsia" w:ascii="楷体" w:hAnsi="楷体" w:eastAsia="楷体" w:cs="楷体"/>
          <w:sz w:val="24"/>
          <w:szCs w:val="24"/>
        </w:rPr>
        <w:t xml:space="preserve">）南京交通职业技术学院 </w:t>
      </w:r>
      <w:r>
        <w:rPr>
          <w:rFonts w:hint="eastAsia" w:ascii="楷体" w:hAnsi="楷体" w:eastAsia="楷体" w:cs="楷体"/>
          <w:sz w:val="24"/>
          <w:szCs w:val="24"/>
          <w:lang w:eastAsia="zh-CN"/>
        </w:rPr>
        <w:t>学校网络建设项目监理</w:t>
      </w:r>
      <w:r>
        <w:rPr>
          <w:rFonts w:hint="eastAsia" w:ascii="楷体" w:hAnsi="楷体" w:eastAsia="楷体" w:cs="楷体"/>
          <w:sz w:val="24"/>
          <w:szCs w:val="24"/>
        </w:rPr>
        <w:t>项目的采购活动，受托人有权在该采购活动中，以我单位的名义签署磋商函和磋商响应文件，与采购人协商、澄清、解释，质疑，签订合同书并执行一切与此有关的事项。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hint="default" w:ascii="楷体" w:hAnsi="楷体" w:eastAsia="楷体" w:cs="楷体"/>
          <w:sz w:val="24"/>
          <w:szCs w:val="24"/>
          <w:lang w:val="en-US" w:eastAsia="zh-CN"/>
        </w:rPr>
      </w:pPr>
      <w:r>
        <w:rPr>
          <w:rFonts w:hint="eastAsia" w:ascii="楷体" w:hAnsi="楷体" w:eastAsia="楷体" w:cs="楷体"/>
          <w:sz w:val="24"/>
          <w:szCs w:val="24"/>
          <w:lang w:eastAsia="zh-CN"/>
        </w:rPr>
        <w:t>后附法人及授权委托人身份证明。</w:t>
      </w: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2020年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24"/>
        <w:numPr>
          <w:ilvl w:val="0"/>
          <w:numId w:val="0"/>
        </w:numPr>
        <w:jc w:val="center"/>
        <w:rPr>
          <w:rFonts w:hint="eastAsia" w:ascii="Arial" w:hAnsi="Arial" w:eastAsia="方正楷体_GBK" w:cs="Calibri"/>
          <w:b/>
          <w:bCs w:val="0"/>
          <w:kern w:val="2"/>
          <w:sz w:val="28"/>
          <w:szCs w:val="21"/>
          <w:lang w:val="en-US" w:eastAsia="zh-CN" w:bidi="ar-SA"/>
        </w:rPr>
      </w:pPr>
      <w:bookmarkStart w:id="118" w:name="_Toc30644"/>
      <w:r>
        <w:rPr>
          <w:rFonts w:hint="eastAsia" w:ascii="楷体" w:hAnsi="楷体" w:eastAsia="楷体" w:cs="楷体"/>
          <w:b w:val="0"/>
          <w:bCs w:val="0"/>
        </w:rPr>
        <w:br w:type="page"/>
      </w:r>
      <w:bookmarkEnd w:id="118"/>
      <w:bookmarkStart w:id="119" w:name="_Toc27307"/>
      <w:bookmarkStart w:id="120" w:name="_Toc9521"/>
      <w:bookmarkStart w:id="121" w:name="_Toc19684"/>
      <w:bookmarkStart w:id="122" w:name="_Toc9284"/>
      <w:bookmarkStart w:id="123" w:name="_Toc9701"/>
      <w:r>
        <w:rPr>
          <w:rFonts w:hint="eastAsia" w:ascii="Arial" w:hAnsi="Arial" w:eastAsia="方正楷体_GBK" w:cs="Calibri"/>
          <w:b/>
          <w:bCs w:val="0"/>
          <w:kern w:val="2"/>
          <w:sz w:val="28"/>
          <w:szCs w:val="21"/>
          <w:lang w:val="en-US" w:eastAsia="zh-CN" w:bidi="ar-SA"/>
        </w:rPr>
        <w:t>附 件2：具备履行合同所必需的设备和专业技术能力的书面声明</w:t>
      </w:r>
      <w:bookmarkEnd w:id="119"/>
      <w:bookmarkEnd w:id="120"/>
      <w:bookmarkEnd w:id="121"/>
      <w:bookmarkEnd w:id="122"/>
    </w:p>
    <w:bookmarkEnd w:id="123"/>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4"/>
        <w:bidi w:val="0"/>
        <w:jc w:val="center"/>
        <w:rPr>
          <w:rFonts w:hint="eastAsia" w:ascii="Arial" w:hAnsi="Arial"/>
          <w:b/>
        </w:rPr>
      </w:pPr>
      <w:r>
        <w:rPr>
          <w:rFonts w:hint="eastAsia" w:ascii="Arial" w:hAnsi="Arial"/>
          <w:b/>
        </w:rPr>
        <w:br w:type="page"/>
      </w:r>
      <w:bookmarkStart w:id="124" w:name="_Toc18188"/>
      <w:bookmarkStart w:id="125" w:name="_Toc190"/>
      <w:bookmarkStart w:id="126" w:name="_Toc26453"/>
      <w:bookmarkStart w:id="127" w:name="_Toc31391"/>
      <w:bookmarkStart w:id="128" w:name="_Toc30482"/>
      <w:bookmarkStart w:id="129" w:name="_Toc10944"/>
      <w:bookmarkStart w:id="130" w:name="_Toc8873"/>
      <w:r>
        <w:rPr>
          <w:rFonts w:hint="eastAsia" w:ascii="Arial" w:hAnsi="Arial"/>
          <w:b/>
        </w:rPr>
        <w:t>附 件</w:t>
      </w:r>
      <w:bookmarkEnd w:id="124"/>
      <w:bookmarkEnd w:id="125"/>
      <w:r>
        <w:rPr>
          <w:rFonts w:hint="eastAsia" w:ascii="Arial" w:hAnsi="Arial"/>
          <w:b/>
          <w:lang w:val="en-US" w:eastAsia="zh-CN"/>
        </w:rPr>
        <w:t>3</w:t>
      </w:r>
      <w:r>
        <w:rPr>
          <w:rFonts w:hint="eastAsia" w:ascii="Arial" w:hAnsi="Arial"/>
          <w:b/>
        </w:rPr>
        <w:t>：三年内无重大违纪声明</w:t>
      </w:r>
      <w:bookmarkEnd w:id="126"/>
      <w:bookmarkEnd w:id="127"/>
      <w:bookmarkEnd w:id="128"/>
      <w:bookmarkEnd w:id="129"/>
      <w:bookmarkEnd w:id="130"/>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24"/>
        <w:numPr>
          <w:ilvl w:val="0"/>
          <w:numId w:val="0"/>
        </w:numPr>
        <w:jc w:val="center"/>
        <w:rPr>
          <w:rFonts w:hint="eastAsia" w:ascii="Arial" w:hAnsi="Arial" w:eastAsia="方正楷体_GBK" w:cs="Calibri"/>
          <w:b/>
          <w:bCs w:val="0"/>
          <w:kern w:val="2"/>
          <w:sz w:val="28"/>
          <w:szCs w:val="21"/>
          <w:lang w:val="en-US" w:eastAsia="zh-CN" w:bidi="ar-SA"/>
        </w:rPr>
      </w:pPr>
      <w:r>
        <w:rPr>
          <w:rFonts w:hint="eastAsia" w:ascii="楷体" w:hAnsi="楷体" w:eastAsia="楷体" w:cs="楷体"/>
          <w:b w:val="0"/>
          <w:bCs w:val="0"/>
          <w:sz w:val="24"/>
          <w:szCs w:val="24"/>
        </w:rPr>
        <w:br w:type="page"/>
      </w:r>
      <w:bookmarkStart w:id="131" w:name="_Toc16683"/>
      <w:bookmarkStart w:id="132" w:name="_Toc19093"/>
      <w:bookmarkStart w:id="133" w:name="_Toc26218"/>
      <w:bookmarkStart w:id="134" w:name="_Toc4338"/>
      <w:bookmarkStart w:id="135" w:name="_Toc4301"/>
      <w:r>
        <w:rPr>
          <w:rFonts w:hint="eastAsia" w:ascii="Arial" w:hAnsi="Arial" w:eastAsia="方正楷体_GBK" w:cs="Calibri"/>
          <w:b/>
          <w:bCs w:val="0"/>
          <w:kern w:val="2"/>
          <w:sz w:val="28"/>
          <w:szCs w:val="21"/>
          <w:lang w:val="en-US" w:eastAsia="zh-CN" w:bidi="ar-SA"/>
        </w:rPr>
        <w:t>附 件4：中小企业声明函格式</w:t>
      </w:r>
      <w:bookmarkEnd w:id="131"/>
      <w:bookmarkEnd w:id="132"/>
      <w:bookmarkEnd w:id="133"/>
      <w:bookmarkEnd w:id="134"/>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5"/>
      <w:bookmarkStart w:id="136" w:name="_Toc31660"/>
      <w:bookmarkStart w:id="137" w:name="_Toc30780"/>
      <w:bookmarkStart w:id="138" w:name="_Toc11048"/>
      <w:bookmarkStart w:id="139" w:name="_Toc10887"/>
    </w:p>
    <w:bookmarkEnd w:id="136"/>
    <w:bookmarkEnd w:id="137"/>
    <w:bookmarkEnd w:id="138"/>
    <w:bookmarkEnd w:id="139"/>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p/>
    <w:sectPr>
      <w:headerReference r:id="rId9" w:type="default"/>
      <w:footerReference r:id="rId10" w:type="default"/>
      <w:pgSz w:w="11906" w:h="16838"/>
      <w:pgMar w:top="1440" w:right="1803" w:bottom="1440" w:left="1803" w:header="851" w:footer="992" w:gutter="0"/>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_GBK">
    <w:altName w:val="微软雅黑"/>
    <w:panose1 w:val="03000509000000000000"/>
    <w:charset w:val="86"/>
    <w:family w:val="auto"/>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7"/>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5.5pt;width:22.55pt;mso-position-horizontal:center;mso-position-horizontal-relative:margin;mso-wrap-style:none;z-index:251658240;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IxZx9EAAAADAQAADwAAAAAAAAABACAAAAAiAAAAZHJzL2Rvd25yZXYueG1sUEsB&#10;AhQAFAAAAAgAh07iQH+UnRvDAQAAYAMAAA4AAAAAAAAAAQAgAAAAIAEAAGRycy9lMm9Eb2MueG1s&#10;UEsFBgAAAAAGAAYAWQEAAFUFAAAAAA==&#10;">
              <v:fill on="f" focussize="0,0"/>
              <v:stroke on="f"/>
              <v:imagedata o:title=""/>
              <o:lock v:ext="edit" aspectratio="f"/>
              <v:textbox inset="0mm,0mm,0mm,0mm" style="mso-fit-shape-to-text:t;">
                <w:txbxContent>
                  <w:p>
                    <w:pPr>
                      <w:pStyle w:val="7"/>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4" w:space="1"/>
      </w:pBdr>
      <w:spacing w:line="240" w:lineRule="auto"/>
      <w:ind w:firstLine="0" w:firstLineChars="0"/>
      <w:jc w:val="both"/>
      <w:rPr>
        <w:rFonts w:hint="eastAsia" w:ascii="仿宋" w:hAnsi="仿宋" w:eastAsia="Calibri"/>
      </w:rPr>
    </w:pPr>
    <w:r>
      <w:rPr>
        <w:rFonts w:hint="eastAsia"/>
      </w:rPr>
      <w:t>JY2020xxx</w:t>
    </w:r>
    <w:r>
      <w:t xml:space="preserve">   </w:t>
    </w:r>
    <w:r>
      <w:rPr>
        <w:rFonts w:hint="eastAsia"/>
      </w:rPr>
      <w:t xml:space="preserve">  </w:t>
    </w:r>
    <w:r>
      <w:t xml:space="preserve">                                 </w:t>
    </w:r>
    <w:r>
      <w:rPr>
        <w:rFonts w:hint="eastAsia"/>
      </w:rPr>
      <w:t xml:space="preserve">                        </w:t>
    </w:r>
    <w:r>
      <w:rPr>
        <w:rFonts w:hint="eastAsia" w:ascii="楷体" w:hAnsi="楷体" w:eastAsia="楷体"/>
      </w:rPr>
      <w:t>南京交通职业技术学院</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4" w:space="1"/>
      </w:pBdr>
      <w:spacing w:line="240" w:lineRule="auto"/>
      <w:ind w:firstLine="0" w:firstLineChars="0"/>
      <w:jc w:val="both"/>
      <w:rPr>
        <w:rFonts w:hint="eastAsia" w:ascii="仿宋" w:hAnsi="仿宋" w:eastAsia="Calibri"/>
      </w:rPr>
    </w:pPr>
    <w:r>
      <w:rPr>
        <w:rFonts w:hint="eastAsia"/>
        <w:lang w:eastAsia="zh-CN"/>
      </w:rPr>
      <w:t>JY2020072</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30D527"/>
    <w:multiLevelType w:val="singleLevel"/>
    <w:tmpl w:val="9D30D527"/>
    <w:lvl w:ilvl="0" w:tentative="0">
      <w:start w:val="1"/>
      <w:numFmt w:val="decimal"/>
      <w:lvlText w:val="%1)"/>
      <w:lvlJc w:val="left"/>
      <w:pPr>
        <w:ind w:left="425" w:hanging="425"/>
      </w:pPr>
      <w:rPr>
        <w:rFonts w:hint="default"/>
      </w:rPr>
    </w:lvl>
  </w:abstractNum>
  <w:abstractNum w:abstractNumId="1">
    <w:nsid w:val="CAC2A000"/>
    <w:multiLevelType w:val="singleLevel"/>
    <w:tmpl w:val="CAC2A000"/>
    <w:lvl w:ilvl="0" w:tentative="0">
      <w:start w:val="1"/>
      <w:numFmt w:val="decimal"/>
      <w:suff w:val="nothing"/>
      <w:lvlText w:val="%1、"/>
      <w:lvlJc w:val="left"/>
    </w:lvl>
  </w:abstractNum>
  <w:abstractNum w:abstractNumId="2">
    <w:nsid w:val="00000011"/>
    <w:multiLevelType w:val="multilevel"/>
    <w:tmpl w:val="00000011"/>
    <w:lvl w:ilvl="0" w:tentative="0">
      <w:start w:val="1"/>
      <w:numFmt w:val="japaneseCounting"/>
      <w:pStyle w:val="24"/>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3">
    <w:nsid w:val="28B28F79"/>
    <w:multiLevelType w:val="singleLevel"/>
    <w:tmpl w:val="28B28F79"/>
    <w:lvl w:ilvl="0" w:tentative="0">
      <w:start w:val="12"/>
      <w:numFmt w:val="chineseCounting"/>
      <w:suff w:val="nothing"/>
      <w:lvlText w:val="%1、"/>
      <w:lvlJc w:val="left"/>
      <w:rPr>
        <w:rFonts w:hint="eastAsia"/>
      </w:rPr>
    </w:lvl>
  </w:abstractNum>
  <w:abstractNum w:abstractNumId="4">
    <w:nsid w:val="7FEB9ABA"/>
    <w:multiLevelType w:val="singleLevel"/>
    <w:tmpl w:val="7FEB9ABA"/>
    <w:lvl w:ilvl="0" w:tentative="0">
      <w:start w:val="3"/>
      <w:numFmt w:val="chineseCounting"/>
      <w:suff w:val="nothing"/>
      <w:lvlText w:val="%1、"/>
      <w:lvlJc w:val="left"/>
      <w:rPr>
        <w:rFonts w:hint="eastAsia" w:cs="Times New Roman"/>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8E7DB9"/>
    <w:rsid w:val="000843CA"/>
    <w:rsid w:val="000D6745"/>
    <w:rsid w:val="02982430"/>
    <w:rsid w:val="06A10831"/>
    <w:rsid w:val="0A0F7809"/>
    <w:rsid w:val="0AA11CCD"/>
    <w:rsid w:val="0BDD3AB2"/>
    <w:rsid w:val="0E06373D"/>
    <w:rsid w:val="0EFC10A4"/>
    <w:rsid w:val="0F0F7553"/>
    <w:rsid w:val="0FB74E57"/>
    <w:rsid w:val="159623A7"/>
    <w:rsid w:val="1ABE2B46"/>
    <w:rsid w:val="1CA75C6A"/>
    <w:rsid w:val="21E76CAF"/>
    <w:rsid w:val="268E7DB9"/>
    <w:rsid w:val="27B558B8"/>
    <w:rsid w:val="29CE2EBB"/>
    <w:rsid w:val="2B655E45"/>
    <w:rsid w:val="2D183DDD"/>
    <w:rsid w:val="31BA21BD"/>
    <w:rsid w:val="39CC3734"/>
    <w:rsid w:val="3A360413"/>
    <w:rsid w:val="3CE47133"/>
    <w:rsid w:val="3DD30D41"/>
    <w:rsid w:val="415A77AA"/>
    <w:rsid w:val="48627008"/>
    <w:rsid w:val="4AD804F4"/>
    <w:rsid w:val="4CCF647C"/>
    <w:rsid w:val="4FC96EE5"/>
    <w:rsid w:val="50A90CC7"/>
    <w:rsid w:val="53D10A84"/>
    <w:rsid w:val="587F24FE"/>
    <w:rsid w:val="58EA3AFE"/>
    <w:rsid w:val="5FDC7FB7"/>
    <w:rsid w:val="64C04064"/>
    <w:rsid w:val="667A2D15"/>
    <w:rsid w:val="68954316"/>
    <w:rsid w:val="6B8676E5"/>
    <w:rsid w:val="6BF46B78"/>
    <w:rsid w:val="6F5D030E"/>
    <w:rsid w:val="70011131"/>
    <w:rsid w:val="754F3785"/>
    <w:rsid w:val="78F622B8"/>
    <w:rsid w:val="7AEF2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方正楷体_GBK"/>
      <w:b/>
      <w:kern w:val="44"/>
      <w:sz w:val="44"/>
    </w:rPr>
  </w:style>
  <w:style w:type="paragraph" w:styleId="4">
    <w:name w:val="heading 2"/>
    <w:basedOn w:val="1"/>
    <w:next w:val="1"/>
    <w:unhideWhenUsed/>
    <w:qFormat/>
    <w:uiPriority w:val="0"/>
    <w:pPr>
      <w:keepNext/>
      <w:keepLines/>
      <w:spacing w:beforeLines="0" w:beforeAutospacing="0" w:afterLines="0" w:afterAutospacing="0" w:line="360" w:lineRule="auto"/>
      <w:outlineLvl w:val="1"/>
    </w:pPr>
    <w:rPr>
      <w:rFonts w:ascii="Arial" w:hAnsi="Arial" w:eastAsia="方正楷体_GBK"/>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index 4"/>
    <w:basedOn w:val="1"/>
    <w:next w:val="1"/>
    <w:qFormat/>
    <w:uiPriority w:val="99"/>
    <w:pPr>
      <w:ind w:left="600" w:leftChars="600"/>
    </w:pPr>
    <w:rPr>
      <w:rFonts w:ascii="Verdana" w:hAnsi="Verdana"/>
      <w:szCs w:val="20"/>
    </w:rPr>
  </w:style>
  <w:style w:type="paragraph" w:styleId="5">
    <w:name w:val="Normal Indent"/>
    <w:basedOn w:val="1"/>
    <w:qFormat/>
    <w:uiPriority w:val="0"/>
    <w:pPr>
      <w:ind w:firstLine="420"/>
    </w:pPr>
    <w:rPr>
      <w:szCs w:val="20"/>
    </w:rPr>
  </w:style>
  <w:style w:type="paragraph" w:styleId="6">
    <w:name w:val="Body Text"/>
    <w:basedOn w:val="1"/>
    <w:qFormat/>
    <w:uiPriority w:val="1"/>
  </w:style>
  <w:style w:type="paragraph" w:styleId="7">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8">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9">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0">
    <w:name w:val="toc 2"/>
    <w:basedOn w:val="1"/>
    <w:next w:val="1"/>
    <w:qFormat/>
    <w:uiPriority w:val="0"/>
    <w:pPr>
      <w:ind w:left="420" w:leftChars="200"/>
    </w:pPr>
  </w:style>
  <w:style w:type="paragraph" w:styleId="11">
    <w:name w:val="Body Text First Indent"/>
    <w:basedOn w:val="6"/>
    <w:qFormat/>
    <w:uiPriority w:val="99"/>
    <w:pPr>
      <w:ind w:firstLine="420" w:firstLineChars="100"/>
    </w:pPr>
  </w:style>
  <w:style w:type="character" w:styleId="14">
    <w:name w:val="Strong"/>
    <w:basedOn w:val="13"/>
    <w:qFormat/>
    <w:uiPriority w:val="0"/>
  </w:style>
  <w:style w:type="character" w:styleId="15">
    <w:name w:val="Emphasis"/>
    <w:basedOn w:val="13"/>
    <w:qFormat/>
    <w:uiPriority w:val="0"/>
  </w:style>
  <w:style w:type="character" w:styleId="16">
    <w:name w:val="HTML Definition"/>
    <w:basedOn w:val="13"/>
    <w:qFormat/>
    <w:uiPriority w:val="0"/>
  </w:style>
  <w:style w:type="character" w:styleId="17">
    <w:name w:val="HTML Variable"/>
    <w:basedOn w:val="13"/>
    <w:qFormat/>
    <w:uiPriority w:val="0"/>
  </w:style>
  <w:style w:type="character" w:styleId="18">
    <w:name w:val="Hyperlink"/>
    <w:basedOn w:val="13"/>
    <w:qFormat/>
    <w:uiPriority w:val="0"/>
  </w:style>
  <w:style w:type="character" w:styleId="19">
    <w:name w:val="HTML Code"/>
    <w:basedOn w:val="13"/>
    <w:qFormat/>
    <w:uiPriority w:val="0"/>
    <w:rPr>
      <w:rFonts w:ascii="Helvetica" w:hAnsi="Helvetica" w:eastAsia="Helvetica" w:cs="Helvetica"/>
      <w:color w:val="FFFFFF"/>
      <w:sz w:val="18"/>
      <w:szCs w:val="18"/>
    </w:rPr>
  </w:style>
  <w:style w:type="character" w:styleId="20">
    <w:name w:val="HTML Cite"/>
    <w:basedOn w:val="13"/>
    <w:qFormat/>
    <w:uiPriority w:val="0"/>
  </w:style>
  <w:style w:type="paragraph" w:customStyle="1" w:styleId="21">
    <w:name w:val="首行缩进"/>
    <w:qFormat/>
    <w:uiPriority w:val="0"/>
    <w:pPr>
      <w:widowControl w:val="0"/>
      <w:autoSpaceDE w:val="0"/>
      <w:autoSpaceDN w:val="0"/>
      <w:ind w:firstLine="480" w:firstLineChars="200"/>
    </w:pPr>
    <w:rPr>
      <w:rFonts w:ascii="宋体" w:hAnsi="宋体" w:eastAsia="宋体" w:cs="宋体"/>
      <w:sz w:val="22"/>
      <w:szCs w:val="22"/>
      <w:lang w:val="zh-CN" w:eastAsia="zh-CN" w:bidi="zh-CN"/>
    </w:rPr>
  </w:style>
  <w:style w:type="paragraph" w:customStyle="1" w:styleId="22">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23">
    <w:name w:val="一级目录"/>
    <w:next w:val="1"/>
    <w:qFormat/>
    <w:uiPriority w:val="99"/>
    <w:pPr>
      <w:spacing w:after="100" w:afterLines="100"/>
      <w:jc w:val="center"/>
      <w:outlineLvl w:val="0"/>
    </w:pPr>
    <w:rPr>
      <w:rFonts w:ascii="黑体" w:hAnsi="黑体" w:eastAsia="方正楷体_GBK" w:cs="Times New Roman"/>
      <w:b/>
      <w:bCs/>
      <w:kern w:val="2"/>
      <w:sz w:val="44"/>
      <w:szCs w:val="44"/>
      <w:lang w:val="en-US" w:eastAsia="zh-CN" w:bidi="ar-SA"/>
    </w:rPr>
  </w:style>
  <w:style w:type="paragraph" w:customStyle="1" w:styleId="24">
    <w:name w:val="二级目录"/>
    <w:next w:val="1"/>
    <w:qFormat/>
    <w:uiPriority w:val="99"/>
    <w:pPr>
      <w:numPr>
        <w:ilvl w:val="0"/>
        <w:numId w:val="1"/>
      </w:numPr>
      <w:outlineLvl w:val="1"/>
    </w:pPr>
    <w:rPr>
      <w:rFonts w:ascii="Calibri" w:hAnsi="Calibri" w:eastAsia="方正楷体_GBK" w:cs="Times New Roman"/>
      <w:b/>
      <w:bCs/>
      <w:kern w:val="2"/>
      <w:sz w:val="28"/>
      <w:szCs w:val="28"/>
      <w:lang w:val="en-US" w:eastAsia="zh-CN" w:bidi="ar-SA"/>
    </w:rPr>
  </w:style>
  <w:style w:type="paragraph" w:customStyle="1" w:styleId="25">
    <w:name w:val="列出段落1"/>
    <w:basedOn w:val="1"/>
    <w:qFormat/>
    <w:uiPriority w:val="99"/>
    <w:pPr>
      <w:ind w:firstLine="420" w:firstLineChars="200"/>
    </w:pPr>
  </w:style>
  <w:style w:type="character" w:customStyle="1" w:styleId="26">
    <w:name w:val="x-tab-strip-text"/>
    <w:basedOn w:val="13"/>
    <w:qFormat/>
    <w:uiPriority w:val="0"/>
    <w:rPr>
      <w:color w:val="15428B"/>
    </w:rPr>
  </w:style>
  <w:style w:type="character" w:customStyle="1" w:styleId="27">
    <w:name w:val="x-tab-strip-text1"/>
    <w:basedOn w:val="13"/>
    <w:qFormat/>
    <w:uiPriority w:val="0"/>
  </w:style>
  <w:style w:type="character" w:customStyle="1" w:styleId="28">
    <w:name w:val="x-tab-strip-text2"/>
    <w:basedOn w:val="13"/>
    <w:qFormat/>
    <w:uiPriority w:val="0"/>
    <w:rPr>
      <w:rFonts w:ascii="宋体" w:hAnsi="宋体" w:eastAsia="宋体" w:cs="宋体"/>
      <w:color w:val="416AA3"/>
      <w:sz w:val="18"/>
      <w:szCs w:val="18"/>
    </w:rPr>
  </w:style>
  <w:style w:type="character" w:customStyle="1" w:styleId="29">
    <w:name w:val="x-tab-strip-text3"/>
    <w:basedOn w:val="13"/>
    <w:qFormat/>
    <w:uiPriority w:val="0"/>
  </w:style>
  <w:style w:type="character" w:customStyle="1" w:styleId="30">
    <w:name w:val="x-tab-strip-text4"/>
    <w:basedOn w:val="13"/>
    <w:qFormat/>
    <w:uiPriority w:val="0"/>
  </w:style>
  <w:style w:type="character" w:customStyle="1" w:styleId="31">
    <w:name w:val="x-tab-strip-text5"/>
    <w:basedOn w:val="13"/>
    <w:qFormat/>
    <w:uiPriority w:val="0"/>
    <w:rPr>
      <w:b/>
      <w:color w:val="15428B"/>
    </w:rPr>
  </w:style>
  <w:style w:type="character" w:customStyle="1" w:styleId="32">
    <w:name w:val="x-tab-strip-text6"/>
    <w:basedOn w:val="13"/>
    <w:qFormat/>
    <w:uiPriority w:val="0"/>
    <w:rPr>
      <w:color w:val="FFFFFF"/>
    </w:rPr>
  </w:style>
  <w:style w:type="character" w:customStyle="1" w:styleId="33">
    <w:name w:val="x-tab-strip-text7"/>
    <w:basedOn w:val="13"/>
    <w:qFormat/>
    <w:uiPriority w:val="0"/>
  </w:style>
  <w:style w:type="character" w:customStyle="1" w:styleId="34">
    <w:name w:val="x-tab-strip-text8"/>
    <w:basedOn w:val="13"/>
    <w:qFormat/>
    <w:uiPriority w:val="0"/>
    <w:rPr>
      <w:color w:val="246BB3"/>
    </w:rPr>
  </w:style>
  <w:style w:type="character" w:customStyle="1" w:styleId="35">
    <w:name w:val="x-tab-strip-text9"/>
    <w:basedOn w:val="13"/>
    <w:qFormat/>
    <w:uiPriority w:val="0"/>
    <w:rPr>
      <w:color w:val="012F5E"/>
    </w:rPr>
  </w:style>
  <w:style w:type="character" w:customStyle="1" w:styleId="36">
    <w:name w:val="x-tab-strip-text10"/>
    <w:basedOn w:val="13"/>
    <w:qFormat/>
    <w:uiPriority w:val="0"/>
    <w:rPr>
      <w:color w:val="02245B"/>
    </w:rPr>
  </w:style>
  <w:style w:type="character" w:customStyle="1" w:styleId="37">
    <w:name w:val="display"/>
    <w:basedOn w:val="13"/>
    <w:qFormat/>
    <w:uiPriority w:val="0"/>
  </w:style>
  <w:style w:type="character" w:customStyle="1" w:styleId="38">
    <w:name w:val="display1"/>
    <w:basedOn w:val="13"/>
    <w:qFormat/>
    <w:uiPriority w:val="0"/>
    <w:rPr>
      <w:bdr w:val="single" w:color="AAAAAA" w:sz="6" w:space="0"/>
    </w:rPr>
  </w:style>
  <w:style w:type="character" w:customStyle="1" w:styleId="39">
    <w:name w:val="on"/>
    <w:basedOn w:val="13"/>
    <w:qFormat/>
    <w:uiPriority w:val="0"/>
    <w:rPr>
      <w:rFonts w:ascii="Tahoma" w:hAnsi="Tahoma" w:eastAsia="Tahoma" w:cs="Tahoma"/>
      <w:color w:val="004080"/>
      <w:sz w:val="18"/>
      <w:szCs w:val="18"/>
      <w:shd w:val="clear" w:fill="9FD6FF"/>
    </w:rPr>
  </w:style>
  <w:style w:type="character" w:customStyle="1" w:styleId="40">
    <w:name w:val="btnbargray"/>
    <w:basedOn w:val="13"/>
    <w:qFormat/>
    <w:uiPriority w:val="0"/>
    <w:rPr>
      <w:color w:val="808080"/>
    </w:rPr>
  </w:style>
  <w:style w:type="character" w:customStyle="1" w:styleId="41">
    <w:name w:val="groupcaptionhandler"/>
    <w:basedOn w:val="13"/>
    <w:qFormat/>
    <w:uiPriority w:val="0"/>
  </w:style>
  <w:style w:type="character" w:customStyle="1" w:styleId="42">
    <w:name w:val="img"/>
    <w:basedOn w:val="13"/>
    <w:qFormat/>
    <w:uiPriority w:val="0"/>
  </w:style>
  <w:style w:type="character" w:customStyle="1" w:styleId="43">
    <w:name w:val="placehold"/>
    <w:basedOn w:val="13"/>
    <w:qFormat/>
    <w:uiPriority w:val="0"/>
  </w:style>
  <w:style w:type="character" w:customStyle="1" w:styleId="44">
    <w:name w:val="task-item-subject"/>
    <w:basedOn w:val="13"/>
    <w:qFormat/>
    <w:uiPriority w:val="0"/>
  </w:style>
  <w:style w:type="character" w:customStyle="1" w:styleId="45">
    <w:name w:val="subdisplay"/>
    <w:basedOn w:val="13"/>
    <w:qFormat/>
    <w:uiPriority w:val="0"/>
    <w:rPr>
      <w:color w:val="808080"/>
    </w:rPr>
  </w:style>
  <w:style w:type="character" w:customStyle="1" w:styleId="46">
    <w:name w:val="subdisplay1"/>
    <w:basedOn w:val="13"/>
    <w:qFormat/>
    <w:uiPriority w:val="0"/>
    <w:rPr>
      <w:color w:val="80808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2020-08-03T05:37:00Z</dcterms:created>
  <dc:creator>丁成业</dc:creator>
  <cp:lastModifiedBy>丁成业</cp:lastModifiedBy>
  <cp:lastPrinted>2020-08-26T08:38:04Z</cp:lastPrinted>
  <dcterms:modified xsi:type="dcterms:W3CDTF">2020-08-26T08:52:16Z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