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2"/>
        <w:ind w:firstLine="0" w:firstLineChars="0"/>
        <w:rPr>
          <w:rFonts w:eastAsia="黑体"/>
          <w:b/>
          <w:bCs/>
          <w:sz w:val="84"/>
        </w:rPr>
      </w:pPr>
    </w:p>
    <w:p>
      <w:pPr>
        <w:pStyle w:val="82"/>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2"/>
        <w:ind w:firstLine="0" w:firstLineChars="0"/>
        <w:jc w:val="both"/>
        <w:rPr>
          <w:rFonts w:hint="eastAsia" w:ascii="楷体" w:hAnsi="楷体" w:eastAsia="楷体" w:cs="楷体"/>
          <w:b/>
          <w:bCs/>
          <w:sz w:val="36"/>
          <w:szCs w:val="36"/>
        </w:rPr>
      </w:pPr>
    </w:p>
    <w:p>
      <w:pPr>
        <w:pStyle w:val="82"/>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项目名称：南京交通职业技术学院2021年零星项目咨询服务采购项目</w:t>
      </w:r>
    </w:p>
    <w:p>
      <w:pPr>
        <w:spacing w:after="156" w:afterLines="50" w:line="640" w:lineRule="exact"/>
        <w:jc w:val="center"/>
        <w:rPr>
          <w:rFonts w:hint="eastAsia" w:ascii="楷体" w:hAnsi="楷体" w:eastAsia="楷体" w:cs="楷体"/>
          <w:b/>
          <w:bCs/>
          <w:sz w:val="40"/>
          <w:szCs w:val="40"/>
        </w:rPr>
      </w:pPr>
    </w:p>
    <w:p>
      <w:pPr>
        <w:spacing w:line="640" w:lineRule="exact"/>
        <w:jc w:val="center"/>
        <w:rPr>
          <w:rFonts w:hint="eastAsia"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JY2021055</w:t>
      </w:r>
    </w:p>
    <w:p>
      <w:pPr>
        <w:pStyle w:val="82"/>
        <w:ind w:firstLine="0" w:firstLineChars="0"/>
        <w:jc w:val="both"/>
        <w:rPr>
          <w:rFonts w:ascii="宋体" w:hAnsi="宋体"/>
          <w:b/>
          <w:bCs/>
          <w:sz w:val="36"/>
          <w:szCs w:val="36"/>
        </w:rPr>
      </w:pPr>
    </w:p>
    <w:p>
      <w:pPr>
        <w:pStyle w:val="82"/>
        <w:ind w:firstLine="723"/>
        <w:jc w:val="both"/>
        <w:rPr>
          <w:rFonts w:ascii="宋体" w:hAnsi="宋体"/>
          <w:b/>
          <w:bCs/>
          <w:sz w:val="36"/>
          <w:szCs w:val="36"/>
        </w:rPr>
      </w:pPr>
    </w:p>
    <w:p>
      <w:pPr>
        <w:pStyle w:val="82"/>
        <w:ind w:firstLine="723"/>
        <w:jc w:val="center"/>
        <w:rPr>
          <w:rFonts w:ascii="宋体" w:hAnsi="宋体"/>
          <w:b/>
          <w:bCs/>
          <w:sz w:val="36"/>
          <w:szCs w:val="36"/>
        </w:rPr>
      </w:pPr>
    </w:p>
    <w:p>
      <w:pPr>
        <w:pStyle w:val="82"/>
        <w:ind w:firstLine="723"/>
        <w:jc w:val="center"/>
        <w:rPr>
          <w:rFonts w:ascii="宋体" w:hAnsi="宋体"/>
          <w:b/>
          <w:bCs/>
          <w:sz w:val="36"/>
          <w:szCs w:val="36"/>
        </w:rPr>
      </w:pPr>
    </w:p>
    <w:p>
      <w:pPr>
        <w:pStyle w:val="82"/>
        <w:ind w:firstLine="723"/>
        <w:jc w:val="center"/>
        <w:rPr>
          <w:rFonts w:ascii="宋体" w:hAnsi="宋体"/>
          <w:b/>
          <w:bCs/>
          <w:sz w:val="36"/>
          <w:szCs w:val="36"/>
        </w:rPr>
      </w:pPr>
    </w:p>
    <w:p>
      <w:pPr>
        <w:pStyle w:val="82"/>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2"/>
        <w:ind w:firstLine="723"/>
        <w:jc w:val="center"/>
        <w:rPr>
          <w:rFonts w:hint="eastAsia" w:ascii="楷体" w:hAnsi="楷体" w:eastAsia="楷体" w:cs="楷体"/>
          <w:b/>
          <w:bCs/>
          <w:sz w:val="36"/>
          <w:szCs w:val="36"/>
        </w:rPr>
      </w:pPr>
    </w:p>
    <w:p>
      <w:pPr>
        <w:pStyle w:val="82"/>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val="en-US" w:eastAsia="zh-CN"/>
        </w:rPr>
        <w:t>五</w:t>
      </w:r>
      <w:r>
        <w:rPr>
          <w:rFonts w:hint="eastAsia" w:ascii="楷体" w:hAnsi="楷体" w:eastAsia="楷体" w:cs="楷体"/>
          <w:b/>
          <w:bCs/>
          <w:sz w:val="36"/>
          <w:szCs w:val="36"/>
        </w:rPr>
        <w:t xml:space="preserve"> 月</w:t>
      </w:r>
    </w:p>
    <w:p>
      <w:pPr>
        <w:pStyle w:val="8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523127445"/>
      <w:bookmarkStart w:id="2" w:name="_Toc16938516"/>
      <w:bookmarkStart w:id="3" w:name="_Toc513029200"/>
      <w:bookmarkStart w:id="4" w:name="_Toc479757206"/>
      <w:bookmarkStart w:id="5" w:name="_Toc20823272"/>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w:t>
      </w:r>
      <w:r>
        <w:rPr>
          <w:rFonts w:hint="eastAsia" w:ascii="楷体" w:hAnsi="楷体" w:eastAsia="楷体" w:cs="楷体"/>
          <w:snapToGrid w:val="0"/>
          <w:kern w:val="0"/>
          <w:lang w:val="zh-CN"/>
        </w:rPr>
        <w:t>零星项目咨询服务费用限价（元/项或费率/项）</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titlePg/>
          <w:docGrid w:type="lines" w:linePitch="312" w:charSpace="0"/>
        </w:sectPr>
      </w:pPr>
      <w:r>
        <w:rPr>
          <w:rFonts w:hint="eastAsia" w:ascii="方正仿宋_GBK" w:hAnsi="方正仿宋_GBK" w:eastAsia="方正仿宋_GBK" w:cs="方正仿宋_GBK"/>
          <w:szCs w:val="28"/>
        </w:rPr>
        <w:fldChar w:fldCharType="end"/>
      </w:r>
      <w:bookmarkStart w:id="6" w:name="_Toc324237145"/>
      <w:bookmarkStart w:id="7" w:name="_Toc31882"/>
      <w:bookmarkStart w:id="8" w:name="_Toc10896"/>
    </w:p>
    <w:p>
      <w:pPr>
        <w:pStyle w:val="42"/>
        <w:spacing w:after="319"/>
        <w:rPr>
          <w:rFonts w:ascii="楷体" w:hAnsi="楷体" w:eastAsia="楷体" w:cs="楷体"/>
          <w:sz w:val="40"/>
        </w:rPr>
      </w:pPr>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南京交通职业技术学院2021年零星项目咨询服务采购实施竞争性磋商</w:t>
      </w:r>
      <w:r>
        <w:rPr>
          <w:rFonts w:hint="eastAsia" w:ascii="楷体" w:hAnsi="楷体" w:eastAsia="楷体" w:cs="楷体"/>
          <w:sz w:val="24"/>
          <w:szCs w:val="24"/>
        </w:rPr>
        <w:t>采购，欢迎符合条商参加磋商。</w:t>
      </w:r>
    </w:p>
    <w:p>
      <w:pPr>
        <w:pStyle w:val="39"/>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3"/>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2021年零星项目咨询服务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ascii="楷体" w:hAnsi="楷体" w:eastAsia="楷体" w:cs="楷体"/>
                <w:sz w:val="24"/>
                <w:szCs w:val="24"/>
              </w:rPr>
            </w:pPr>
            <w:r>
              <w:rPr>
                <w:rFonts w:hint="eastAsia" w:ascii="楷体" w:hAnsi="楷体" w:eastAsia="楷体" w:cs="楷体"/>
                <w:sz w:val="24"/>
                <w:szCs w:val="24"/>
              </w:rPr>
              <w:t>联系人：丁老师   电话：025-86115963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3"/>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2021年零星项目咨询服务</w:t>
            </w:r>
            <w:r>
              <w:rPr>
                <w:rFonts w:hint="eastAsia" w:ascii="楷体" w:hAnsi="楷体" w:eastAsia="楷体" w:cs="楷体"/>
                <w:sz w:val="24"/>
                <w:szCs w:val="24"/>
              </w:rPr>
              <w:t>实施竞争性磋商采购。</w:t>
            </w:r>
          </w:p>
          <w:p>
            <w:p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2、项目预算：人民币</w:t>
            </w:r>
            <w:r>
              <w:rPr>
                <w:rFonts w:hint="eastAsia" w:ascii="楷体" w:hAnsi="楷体" w:eastAsia="楷体" w:cs="楷体"/>
                <w:b/>
                <w:bCs/>
                <w:sz w:val="24"/>
                <w:szCs w:val="24"/>
                <w:lang w:val="en-US" w:eastAsia="zh-CN"/>
              </w:rPr>
              <w:t>9</w:t>
            </w:r>
            <w:r>
              <w:rPr>
                <w:rFonts w:hint="eastAsia" w:ascii="楷体" w:hAnsi="楷体" w:eastAsia="楷体" w:cs="楷体"/>
                <w:b/>
                <w:bCs/>
                <w:sz w:val="24"/>
                <w:szCs w:val="24"/>
              </w:rPr>
              <w:t>万元整</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磋商小组进行综合评分后，按评审后得分由高到低顺序排列，根据综合评分后的排名顺序现场确定排名第一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w:t>
            </w:r>
            <w:r>
              <w:rPr>
                <w:rFonts w:hint="eastAsia" w:ascii="楷体" w:hAnsi="楷体" w:eastAsia="楷体" w:cs="楷体"/>
                <w:b/>
                <w:bCs/>
                <w:sz w:val="24"/>
                <w:szCs w:val="24"/>
                <w:lang w:val="en-US" w:eastAsia="zh-CN"/>
              </w:rPr>
              <w:t>贰仟</w:t>
            </w:r>
            <w:r>
              <w:rPr>
                <w:rFonts w:hint="eastAsia" w:ascii="楷体" w:hAnsi="楷体" w:eastAsia="楷体" w:cs="楷体"/>
                <w:b/>
                <w:bCs/>
                <w:sz w:val="24"/>
                <w:szCs w:val="24"/>
              </w:rPr>
              <w:t>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保证金形式：现金形式（信封封号，现场收取）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w:t>
            </w:r>
            <w:r>
              <w:rPr>
                <w:rStyle w:val="26"/>
                <w:rFonts w:ascii="楷体" w:hAnsi="楷体" w:eastAsia="楷体" w:cs="楷体"/>
                <w:b/>
                <w:bCs/>
                <w:kern w:val="1"/>
                <w:sz w:val="24"/>
                <w:szCs w:val="24"/>
              </w:rPr>
              <w:t>202</w:t>
            </w:r>
            <w:r>
              <w:rPr>
                <w:rStyle w:val="26"/>
                <w:rFonts w:hint="eastAsia" w:ascii="楷体" w:hAnsi="楷体" w:eastAsia="楷体" w:cs="楷体"/>
                <w:b/>
                <w:bCs/>
                <w:kern w:val="1"/>
                <w:sz w:val="24"/>
                <w:szCs w:val="24"/>
              </w:rPr>
              <w:t>1年6月7日上午9：00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正本份数：1份</w:t>
            </w:r>
          </w:p>
          <w:p>
            <w:pPr>
              <w:snapToGrid w:val="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6 </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4日</w:t>
            </w:r>
            <w:r>
              <w:rPr>
                <w:rFonts w:hint="eastAsia" w:ascii="楷体" w:hAnsi="楷体" w:eastAsia="楷体" w:cs="楷体"/>
                <w:sz w:val="24"/>
                <w:szCs w:val="24"/>
              </w:rPr>
              <w:t>前将确认发</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送至邮箱cgb@njitt.edu.cn，采购办不接受没有报名认</w:t>
            </w:r>
          </w:p>
          <w:p>
            <w:pPr>
              <w:spacing w:line="324" w:lineRule="auto"/>
              <w:ind w:left="720" w:hanging="720" w:hangingChars="300"/>
              <w:rPr>
                <w:rFonts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39"/>
        <w:numPr>
          <w:ilvl w:val="0"/>
          <w:numId w:val="0"/>
        </w:numPr>
        <w:outlineLvl w:val="9"/>
        <w:rPr>
          <w:rFonts w:hint="eastAsia" w:ascii="楷体" w:hAnsi="楷体" w:eastAsia="楷体" w:cs="楷体"/>
          <w:snapToGrid w:val="0"/>
          <w:kern w:val="0"/>
        </w:rPr>
      </w:pPr>
    </w:p>
    <w:p>
      <w:pPr>
        <w:pStyle w:val="39"/>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2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324237146"/>
      <w:bookmarkStart w:id="15" w:name="_Toc120614211"/>
      <w:r>
        <w:rPr>
          <w:rFonts w:hint="eastAsia" w:ascii="楷体" w:hAnsi="楷体" w:eastAsia="楷体" w:cs="楷体"/>
          <w:sz w:val="24"/>
          <w:szCs w:val="24"/>
        </w:rPr>
        <w:t>无。</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39"/>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6 </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4 日</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39"/>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Style w:val="26"/>
          <w:rFonts w:hint="eastAsia" w:ascii="楷体" w:hAnsi="楷体" w:eastAsia="楷体" w:cs="楷体"/>
          <w:b/>
          <w:bCs/>
          <w:kern w:val="1"/>
          <w:sz w:val="24"/>
          <w:szCs w:val="24"/>
        </w:rPr>
      </w:pPr>
      <w:r>
        <w:rPr>
          <w:rFonts w:hint="eastAsia" w:ascii="楷体" w:hAnsi="楷体" w:eastAsia="楷体" w:cs="楷体"/>
          <w:bCs/>
          <w:sz w:val="24"/>
        </w:rPr>
        <w:t>4、响应文件接收及开启时间：</w:t>
      </w:r>
      <w:r>
        <w:rPr>
          <w:rStyle w:val="26"/>
          <w:rFonts w:ascii="楷体" w:hAnsi="楷体" w:eastAsia="楷体" w:cs="楷体"/>
          <w:b/>
          <w:bCs/>
          <w:kern w:val="1"/>
          <w:sz w:val="24"/>
          <w:szCs w:val="24"/>
        </w:rPr>
        <w:t>202</w:t>
      </w:r>
      <w:r>
        <w:rPr>
          <w:rStyle w:val="26"/>
          <w:rFonts w:hint="eastAsia" w:ascii="楷体" w:hAnsi="楷体" w:eastAsia="楷体" w:cs="楷体"/>
          <w:b/>
          <w:bCs/>
          <w:kern w:val="1"/>
          <w:sz w:val="24"/>
          <w:szCs w:val="24"/>
        </w:rPr>
        <w:t>1年6月7日上午9：00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39"/>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ind w:firstLine="482" w:firstLineChars="200"/>
        <w:rPr>
          <w:rFonts w:hint="eastAsia" w:ascii="楷体" w:hAnsi="楷体" w:eastAsia="楷体" w:cs="楷体"/>
          <w:bCs/>
          <w:sz w:val="24"/>
        </w:rPr>
      </w:pPr>
      <w:r>
        <w:rPr>
          <w:rFonts w:hint="eastAsia" w:ascii="楷体" w:hAnsi="楷体" w:eastAsia="楷体" w:cs="楷体"/>
          <w:b/>
          <w:bCs/>
          <w:sz w:val="24"/>
          <w:szCs w:val="24"/>
        </w:rPr>
        <w:t>人民币</w:t>
      </w:r>
      <w:r>
        <w:rPr>
          <w:rFonts w:hint="eastAsia" w:ascii="楷体" w:hAnsi="楷体" w:eastAsia="楷体" w:cs="楷体"/>
          <w:b/>
          <w:bCs/>
          <w:sz w:val="24"/>
          <w:szCs w:val="24"/>
          <w:lang w:val="en-US" w:eastAsia="zh-CN"/>
        </w:rPr>
        <w:t>贰仟</w:t>
      </w:r>
      <w:r>
        <w:rPr>
          <w:rFonts w:hint="eastAsia" w:ascii="楷体" w:hAnsi="楷体" w:eastAsia="楷体" w:cs="楷体"/>
          <w:b/>
          <w:bCs/>
          <w:sz w:val="24"/>
          <w:szCs w:val="24"/>
        </w:rPr>
        <w:t>元整</w:t>
      </w:r>
      <w:r>
        <w:rPr>
          <w:rFonts w:hint="eastAsia" w:ascii="楷体" w:hAnsi="楷体" w:eastAsia="楷体" w:cs="楷体"/>
          <w:bCs/>
          <w:sz w:val="24"/>
        </w:rPr>
        <w:t>(现金信封密封好，现场收取)， 成交后转为履约保证金。</w:t>
      </w:r>
    </w:p>
    <w:p>
      <w:pPr>
        <w:pStyle w:val="39"/>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86115</w:t>
      </w:r>
      <w:r>
        <w:rPr>
          <w:rFonts w:hint="eastAsia" w:ascii="楷体" w:hAnsi="楷体" w:eastAsia="楷体" w:cs="楷体"/>
          <w:bCs/>
          <w:sz w:val="24"/>
          <w:lang w:val="en-US" w:eastAsia="zh-CN"/>
        </w:rPr>
        <w:t>729</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采购办：丁</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r>
        <w:rPr>
          <w:rFonts w:hint="eastAsia" w:ascii="楷体" w:hAnsi="楷体" w:eastAsia="楷体" w:cs="楷体"/>
          <w:bCs/>
          <w:sz w:val="24"/>
        </w:rPr>
        <w:t>963</w:t>
      </w:r>
      <w:bookmarkEnd w:id="1"/>
      <w:bookmarkEnd w:id="2"/>
      <w:bookmarkEnd w:id="3"/>
      <w:bookmarkEnd w:id="4"/>
      <w:bookmarkEnd w:id="5"/>
      <w:bookmarkEnd w:id="13"/>
      <w:bookmarkEnd w:id="14"/>
      <w:bookmarkEnd w:id="15"/>
      <w:bookmarkStart w:id="21" w:name="_Toc3756"/>
      <w:bookmarkStart w:id="22" w:name="_Toc18049"/>
      <w:bookmarkStart w:id="23" w:name="_Toc14577347"/>
      <w:bookmarkStart w:id="24" w:name="_Toc513029209"/>
      <w:bookmarkStart w:id="25" w:name="_Toc61149549"/>
      <w:bookmarkStart w:id="26" w:name="_Toc120614221"/>
      <w:bookmarkStart w:id="27" w:name="_Toc324237147"/>
      <w:bookmarkStart w:id="28" w:name="_Toc513029242"/>
      <w:bookmarkStart w:id="29" w:name="_Toc479757207"/>
      <w:bookmarkStart w:id="30" w:name="_Toc20823314"/>
      <w:bookmarkStart w:id="31" w:name="_Toc16938558"/>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rPr>
          <w:rFonts w:hint="eastAsia"/>
        </w:rPr>
      </w:pPr>
    </w:p>
    <w:p>
      <w:pPr>
        <w:rPr>
          <w:rFonts w:hint="eastAsia" w:eastAsia="楷体"/>
          <w:lang w:val="en-US" w:eastAsia="zh-CN"/>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bookmarkStart w:id="32" w:name="_Toc21764"/>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39"/>
        <w:numPr>
          <w:ilvl w:val="0"/>
          <w:numId w:val="0"/>
        </w:numPr>
        <w:outlineLvl w:val="9"/>
        <w:rPr>
          <w:rFonts w:hint="eastAsia" w:ascii="楷体" w:hAnsi="楷体" w:eastAsia="楷体" w:cs="楷体"/>
          <w:snapToGrid w:val="0"/>
          <w:kern w:val="0"/>
          <w:lang w:val="zh-CN"/>
        </w:rPr>
      </w:pPr>
      <w:bookmarkStart w:id="33" w:name="_Toc23092"/>
      <w:bookmarkStart w:id="34" w:name="_Toc513029237"/>
      <w:bookmarkStart w:id="35" w:name="_Toc20823309"/>
      <w:bookmarkStart w:id="36" w:name="_Toc16938553"/>
      <w:bookmarkStart w:id="37" w:name="_Toc6739"/>
      <w:bookmarkStart w:id="38" w:name="_Toc1649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39"/>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39"/>
        <w:numPr>
          <w:ilvl w:val="0"/>
          <w:numId w:val="0"/>
        </w:numPr>
        <w:outlineLvl w:val="9"/>
        <w:rPr>
          <w:rFonts w:hint="eastAsia" w:ascii="楷体" w:hAnsi="楷体" w:eastAsia="楷体" w:cs="楷体"/>
          <w:snapToGrid w:val="0"/>
          <w:kern w:val="0"/>
          <w:lang w:val="zh-CN"/>
        </w:rPr>
      </w:pPr>
      <w:bookmarkStart w:id="42" w:name="_Toc163"/>
      <w:bookmarkStart w:id="43" w:name="_Toc487210477"/>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39"/>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39"/>
        <w:numPr>
          <w:ilvl w:val="0"/>
          <w:numId w:val="0"/>
        </w:numPr>
        <w:outlineLvl w:val="9"/>
        <w:rPr>
          <w:rFonts w:hint="eastAsia" w:ascii="楷体" w:hAnsi="楷体" w:eastAsia="楷体" w:cs="楷体"/>
          <w:snapToGrid w:val="0"/>
          <w:kern w:val="0"/>
          <w:lang w:val="zh-CN"/>
        </w:rPr>
      </w:pPr>
      <w:bookmarkStart w:id="50" w:name="_Toc20846"/>
      <w:bookmarkStart w:id="51" w:name="_Toc487210483"/>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2"/>
        <w:spacing w:after="319"/>
        <w:rPr>
          <w:rFonts w:ascii="楷体" w:hAnsi="楷体" w:eastAsia="楷体" w:cs="楷体"/>
          <w:sz w:val="40"/>
        </w:rPr>
      </w:pPr>
      <w:bookmarkStart w:id="52" w:name="_Toc28167"/>
      <w:bookmarkStart w:id="53" w:name="_Toc32263"/>
      <w:bookmarkStart w:id="54" w:name="_Toc324237148"/>
      <w:bookmarkStart w:id="55" w:name="_Toc49090575"/>
      <w:bookmarkStart w:id="56" w:name="_Toc120614281"/>
      <w:bookmarkStart w:id="57" w:name="_Toc26554093"/>
      <w:bookmarkStart w:id="58" w:name="_Toc462564139"/>
      <w:bookmarkStart w:id="59" w:name="_Toc479757211"/>
      <w:r>
        <w:rPr>
          <w:rFonts w:hint="eastAsia" w:ascii="楷体" w:hAnsi="楷体" w:eastAsia="楷体" w:cs="楷体"/>
          <w:sz w:val="40"/>
        </w:rPr>
        <w:t>第三章  项目需求</w:t>
      </w:r>
      <w:bookmarkEnd w:id="52"/>
      <w:bookmarkEnd w:id="53"/>
      <w:bookmarkEnd w:id="54"/>
      <w:bookmarkStart w:id="60" w:name="_Toc324237156"/>
      <w:bookmarkStart w:id="61" w:name="_Toc18960"/>
    </w:p>
    <w:p>
      <w:pPr>
        <w:pStyle w:val="39"/>
        <w:numPr>
          <w:ilvl w:val="0"/>
          <w:numId w:val="0"/>
        </w:numPr>
        <w:outlineLvl w:val="9"/>
        <w:rPr>
          <w:rFonts w:hint="eastAsia" w:ascii="楷体" w:hAnsi="楷体" w:eastAsia="楷体" w:cs="楷体"/>
          <w:snapToGrid w:val="0"/>
          <w:kern w:val="0"/>
          <w:lang w:val="zh-CN"/>
        </w:rPr>
      </w:pPr>
      <w:bookmarkStart w:id="62" w:name="_Toc10032"/>
      <w:r>
        <w:rPr>
          <w:rFonts w:hint="eastAsia" w:ascii="楷体" w:hAnsi="楷体" w:eastAsia="楷体" w:cs="楷体"/>
          <w:snapToGrid w:val="0"/>
          <w:kern w:val="0"/>
          <w:lang w:val="zh-CN"/>
        </w:rPr>
        <w:t>一、</w:t>
      </w:r>
      <w:r>
        <w:rPr>
          <w:rFonts w:hint="eastAsia" w:ascii="楷体" w:hAnsi="楷体" w:eastAsia="楷体" w:cs="楷体"/>
          <w:bCs/>
          <w:sz w:val="24"/>
          <w:lang w:val="zh-CN"/>
        </w:rPr>
        <w:t>委托内容</w:t>
      </w:r>
      <w:bookmarkEnd w:id="62"/>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施工方案优化、工程量清单及控制价编制、过程质量督查、项目资料审查。</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1）施工方案优化：咨询单位负责项目施工方案优化，提出优化建议，满足施工需要。</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2）工程量清单及控制价编制：依据方案图纸、结合现行计价文件编制工程量清单和控制价，并按委托方要求进行调整，按市场合理价进行控制价。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3）过程质量督查：对工程进行进度、质量、投资、安全控制，合同管理、信息管理，协调施工现场各方面关系。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4）项目资料审查：项目资料收集整理，与审计、监察等部门对接，确保资料的完整性及准确性。</w:t>
      </w:r>
    </w:p>
    <w:p>
      <w:pPr>
        <w:pStyle w:val="39"/>
        <w:numPr>
          <w:ilvl w:val="0"/>
          <w:numId w:val="0"/>
        </w:numPr>
        <w:outlineLvl w:val="9"/>
        <w:rPr>
          <w:rFonts w:hint="eastAsia" w:ascii="楷体" w:hAnsi="楷体" w:eastAsia="楷体" w:cs="楷体"/>
          <w:snapToGrid w:val="0"/>
          <w:kern w:val="0"/>
          <w:lang w:val="zh-CN"/>
        </w:rPr>
      </w:pPr>
      <w:bookmarkStart w:id="63" w:name="_Toc5197"/>
      <w:r>
        <w:rPr>
          <w:rFonts w:hint="eastAsia" w:ascii="楷体" w:hAnsi="楷体" w:eastAsia="楷体" w:cs="楷体"/>
          <w:snapToGrid w:val="0"/>
          <w:kern w:val="0"/>
          <w:lang w:val="en-US" w:eastAsia="zh-CN"/>
        </w:rPr>
        <w:t>二、</w:t>
      </w:r>
      <w:r>
        <w:rPr>
          <w:rFonts w:hint="eastAsia" w:ascii="楷体" w:hAnsi="楷体" w:eastAsia="楷体" w:cs="楷体"/>
          <w:snapToGrid w:val="0"/>
          <w:kern w:val="0"/>
          <w:lang w:val="zh-CN"/>
        </w:rPr>
        <w:t>零星项目咨询服务费用限价（元/项或费率/项）</w:t>
      </w:r>
      <w:bookmarkEnd w:id="63"/>
    </w:p>
    <w:tbl>
      <w:tblPr>
        <w:tblStyle w:val="23"/>
        <w:tblW w:w="8365" w:type="dxa"/>
        <w:tblInd w:w="96" w:type="dxa"/>
        <w:tblLayout w:type="fixed"/>
        <w:tblCellMar>
          <w:top w:w="0" w:type="dxa"/>
          <w:left w:w="108" w:type="dxa"/>
          <w:bottom w:w="0" w:type="dxa"/>
          <w:right w:w="108" w:type="dxa"/>
        </w:tblCellMar>
      </w:tblPr>
      <w:tblGrid>
        <w:gridCol w:w="1676"/>
        <w:gridCol w:w="1320"/>
        <w:gridCol w:w="1215"/>
        <w:gridCol w:w="1245"/>
        <w:gridCol w:w="1480"/>
        <w:gridCol w:w="1429"/>
      </w:tblGrid>
      <w:tr>
        <w:tblPrEx>
          <w:tblCellMar>
            <w:top w:w="0" w:type="dxa"/>
            <w:left w:w="108" w:type="dxa"/>
            <w:bottom w:w="0" w:type="dxa"/>
            <w:right w:w="108" w:type="dxa"/>
          </w:tblCellMar>
        </w:tblPrEx>
        <w:trPr>
          <w:trHeight w:val="90" w:hRule="atLeast"/>
        </w:trPr>
        <w:tc>
          <w:tcPr>
            <w:tcW w:w="167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工作内容</w:t>
            </w:r>
          </w:p>
        </w:tc>
        <w:tc>
          <w:tcPr>
            <w:tcW w:w="1320"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5万元以下</w:t>
            </w:r>
          </w:p>
        </w:tc>
        <w:tc>
          <w:tcPr>
            <w:tcW w:w="1215"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5-10万元</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10-50万元</w:t>
            </w:r>
          </w:p>
        </w:tc>
        <w:tc>
          <w:tcPr>
            <w:tcW w:w="1480" w:type="dxa"/>
            <w:tcBorders>
              <w:top w:val="single" w:color="auto" w:sz="4" w:space="0"/>
              <w:left w:val="nil"/>
              <w:bottom w:val="single" w:color="auto" w:sz="4" w:space="0"/>
              <w:right w:val="single" w:color="auto" w:sz="4" w:space="0"/>
            </w:tcBorders>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50-100万元</w:t>
            </w:r>
          </w:p>
        </w:tc>
        <w:tc>
          <w:tcPr>
            <w:tcW w:w="1429" w:type="dxa"/>
            <w:tcBorders>
              <w:top w:val="single" w:color="auto" w:sz="4" w:space="0"/>
              <w:left w:val="nil"/>
              <w:bottom w:val="single" w:color="auto" w:sz="4" w:space="0"/>
              <w:right w:val="single" w:color="auto" w:sz="4" w:space="0"/>
            </w:tcBorders>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100万元以上</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施工方案优化</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5000</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过程质量督查</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2000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2500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2.5%</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1.5%</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工程量清单及控制价编制</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0.38%</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项目资料审查</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1000</w:t>
            </w:r>
          </w:p>
        </w:tc>
      </w:tr>
    </w:tbl>
    <w:p>
      <w:pPr>
        <w:snapToGrid w:val="0"/>
        <w:spacing w:line="360" w:lineRule="auto"/>
        <w:rPr>
          <w:rFonts w:hint="eastAsia" w:ascii="楷体" w:hAnsi="楷体" w:eastAsia="楷体" w:cs="楷体"/>
          <w:bCs/>
          <w:sz w:val="24"/>
          <w:lang w:val="zh-CN"/>
        </w:rPr>
      </w:pPr>
      <w:r>
        <w:rPr>
          <w:rFonts w:hint="eastAsia" w:ascii="楷体" w:hAnsi="楷体" w:eastAsia="楷体" w:cs="楷体"/>
          <w:bCs/>
          <w:sz w:val="24"/>
          <w:lang w:val="zh-CN"/>
        </w:rPr>
        <w:t>说明：投标人按整体下浮率进行报价，报价不得高于最高限价，否则作废标处理。</w:t>
      </w:r>
    </w:p>
    <w:p>
      <w:pPr>
        <w:pStyle w:val="39"/>
        <w:numPr>
          <w:ilvl w:val="0"/>
          <w:numId w:val="0"/>
        </w:numPr>
        <w:outlineLvl w:val="9"/>
        <w:rPr>
          <w:rFonts w:hint="eastAsia" w:ascii="楷体" w:hAnsi="楷体" w:eastAsia="楷体" w:cs="楷体"/>
          <w:snapToGrid w:val="0"/>
          <w:kern w:val="0"/>
          <w:lang w:val="zh-CN" w:eastAsia="zh-CN"/>
        </w:rPr>
      </w:pPr>
      <w:bookmarkStart w:id="64" w:name="_Toc29405"/>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bookmarkEnd w:id="64"/>
    </w:p>
    <w:p>
      <w:pPr>
        <w:numPr>
          <w:ilvl w:val="0"/>
          <w:numId w:val="0"/>
        </w:num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投标人具有工程造价咨询乙级资质（提供证书复印件加盖公章），项目实施期间咨询人员必须常驻现场进行管理。</w:t>
      </w:r>
    </w:p>
    <w:p>
      <w:pPr>
        <w:pStyle w:val="39"/>
        <w:numPr>
          <w:ilvl w:val="0"/>
          <w:numId w:val="0"/>
        </w:numPr>
        <w:outlineLvl w:val="9"/>
        <w:rPr>
          <w:rFonts w:hint="eastAsia" w:ascii="楷体" w:hAnsi="楷体" w:eastAsia="楷体" w:cs="楷体"/>
          <w:snapToGrid w:val="0"/>
          <w:kern w:val="0"/>
          <w:lang w:val="zh-CN" w:eastAsia="zh-CN"/>
        </w:rPr>
      </w:pPr>
      <w:bookmarkStart w:id="65" w:name="_Toc22117"/>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bookmarkEnd w:id="65"/>
    </w:p>
    <w:p>
      <w:pPr>
        <w:numPr>
          <w:ilvl w:val="0"/>
          <w:numId w:val="0"/>
        </w:num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服务期限为三年，合同根据每年考核结果一年一签。</w:t>
      </w:r>
    </w:p>
    <w:p>
      <w:pPr>
        <w:pStyle w:val="39"/>
        <w:numPr>
          <w:ilvl w:val="0"/>
          <w:numId w:val="0"/>
        </w:numPr>
        <w:outlineLvl w:val="9"/>
        <w:rPr>
          <w:rFonts w:hint="eastAsia" w:ascii="楷体" w:hAnsi="楷体" w:eastAsia="楷体" w:cs="楷体"/>
          <w:snapToGrid w:val="0"/>
          <w:kern w:val="0"/>
          <w:lang w:val="zh-CN" w:eastAsia="zh-CN"/>
        </w:rPr>
      </w:pPr>
      <w:bookmarkStart w:id="66" w:name="_Toc6993"/>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bookmarkEnd w:id="66"/>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学院每年支付3万元咨询服务基本费。其他相关咨询服务费用由中标单位承担、在招标文件中予以明确。</w:t>
      </w:r>
    </w:p>
    <w:p>
      <w:pPr>
        <w:pStyle w:val="39"/>
        <w:numPr>
          <w:ilvl w:val="0"/>
          <w:numId w:val="0"/>
        </w:numPr>
        <w:outlineLvl w:val="9"/>
        <w:rPr>
          <w:rFonts w:hint="eastAsia" w:ascii="楷体" w:hAnsi="楷体" w:eastAsia="楷体" w:cs="楷体"/>
          <w:snapToGrid w:val="0"/>
          <w:kern w:val="0"/>
          <w:lang w:val="zh-CN"/>
        </w:rPr>
      </w:pPr>
      <w:bookmarkStart w:id="67" w:name="_Toc30324"/>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bookmarkEnd w:id="67"/>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1、投标人应遵守中华人民共和国《政府采购法》、《招标投标法》、《合同法》和《反不正当竞争法》等有关法律、法规，如有违反，将视为不合格投标人，其投标文件无效。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2、投标人报价为年保养费用+年维修更换材料费用+年移机费用+预备费。四项费用缺一不可，否则按废标处理。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3、投标人报价含各种税费，投标人应充分考虑各种风险因素，包括但不限于：材料价格市场波动风险、政府最低工资标准调整风险、材料间不同品牌之间价格差异风险等。学院支付更换材料费用时，按实际更换材料发生量和投标人确定的固定单价结算，单价不再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4、投标人所提供的材料配件为原厂正品配件。不得以排挤对手为目的，以低于成本的价格销售商品。如果学院有理由认为投标人提供的配件价格低于其成本，则投标人需提供原厂授权其销售及其进货成本的证明材料，若投标人无法在1周内提供，则按废标处理。</w:t>
      </w:r>
    </w:p>
    <w:p>
      <w:pPr>
        <w:pStyle w:val="10"/>
        <w:ind w:left="1260"/>
        <w:rPr>
          <w:rFonts w:hint="eastAsia" w:ascii="楷体" w:hAnsi="楷体" w:eastAsia="楷体" w:cs="楷体"/>
          <w:kern w:val="0"/>
          <w:sz w:val="24"/>
        </w:rPr>
      </w:pPr>
    </w:p>
    <w:p>
      <w:pPr>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8" w:name="_Toc15880"/>
      <w:bookmarkStart w:id="69" w:name="_Toc24347"/>
      <w:bookmarkStart w:id="70" w:name="_Toc273"/>
      <w:bookmarkStart w:id="71" w:name="_Toc324237157"/>
      <w:bookmarkStart w:id="72" w:name="_Toc8457"/>
      <w:r>
        <w:rPr>
          <w:rFonts w:hint="eastAsia" w:ascii="楷体" w:hAnsi="楷体" w:eastAsia="楷体" w:cs="楷体"/>
          <w:b/>
          <w:bCs/>
          <w:sz w:val="44"/>
          <w:szCs w:val="44"/>
        </w:rPr>
        <w:t>第四章  评审方法和评审标准</w:t>
      </w:r>
      <w:bookmarkEnd w:id="68"/>
    </w:p>
    <w:p>
      <w:pPr>
        <w:pStyle w:val="39"/>
        <w:numPr>
          <w:ilvl w:val="0"/>
          <w:numId w:val="0"/>
        </w:numPr>
        <w:outlineLvl w:val="9"/>
        <w:rPr>
          <w:rFonts w:hint="eastAsia" w:ascii="楷体" w:hAnsi="楷体" w:eastAsia="楷体" w:cs="楷体"/>
          <w:snapToGrid w:val="0"/>
          <w:kern w:val="0"/>
        </w:rPr>
      </w:pPr>
      <w:bookmarkStart w:id="73" w:name="_Toc6209"/>
      <w:r>
        <w:rPr>
          <w:rFonts w:hint="eastAsia" w:ascii="楷体" w:hAnsi="楷体" w:eastAsia="楷体" w:cs="楷体"/>
          <w:snapToGrid w:val="0"/>
          <w:kern w:val="0"/>
        </w:rPr>
        <w:t>一、评标方法与定标原则</w:t>
      </w:r>
      <w:bookmarkEnd w:id="69"/>
      <w:bookmarkEnd w:id="73"/>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每个分包由评标委员会推荐1个成交候选人。具体打分办法如下：</w:t>
      </w:r>
    </w:p>
    <w:p>
      <w:pPr>
        <w:pStyle w:val="39"/>
        <w:numPr>
          <w:ilvl w:val="0"/>
          <w:numId w:val="0"/>
        </w:numPr>
        <w:outlineLvl w:val="9"/>
        <w:rPr>
          <w:rFonts w:hint="eastAsia" w:ascii="楷体" w:hAnsi="楷体" w:eastAsia="楷体" w:cs="楷体"/>
          <w:snapToGrid w:val="0"/>
          <w:kern w:val="0"/>
        </w:rPr>
      </w:pPr>
      <w:bookmarkStart w:id="74" w:name="_Toc743"/>
      <w:bookmarkStart w:id="75" w:name="_Toc26593"/>
      <w:bookmarkStart w:id="76" w:name="_Toc27008"/>
      <w:bookmarkStart w:id="77" w:name="_Toc25132"/>
      <w:bookmarkStart w:id="78" w:name="_Toc31574"/>
      <w:r>
        <w:rPr>
          <w:rFonts w:hint="eastAsia" w:ascii="楷体" w:hAnsi="楷体" w:eastAsia="楷体" w:cs="楷体"/>
          <w:snapToGrid w:val="0"/>
          <w:kern w:val="0"/>
        </w:rPr>
        <w:t>二、评标标准</w:t>
      </w:r>
      <w:bookmarkEnd w:id="74"/>
      <w:bookmarkEnd w:id="75"/>
      <w:bookmarkEnd w:id="76"/>
      <w:bookmarkEnd w:id="77"/>
      <w:bookmarkEnd w:id="78"/>
    </w:p>
    <w:tbl>
      <w:tblPr>
        <w:tblStyle w:val="23"/>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585"/>
        <w:gridCol w:w="510"/>
        <w:gridCol w:w="6240"/>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58" w:type="dxa"/>
            <w:noWrap/>
            <w:vAlign w:val="center"/>
          </w:tcPr>
          <w:p>
            <w:pPr>
              <w:spacing w:after="156" w:line="280" w:lineRule="exact"/>
              <w:ind w:firstLine="11" w:firstLineChars="6"/>
              <w:jc w:val="center"/>
              <w:rPr>
                <w:rFonts w:ascii="宋体" w:hAnsi="宋体" w:cs="宋体"/>
                <w:b/>
                <w:sz w:val="18"/>
                <w:szCs w:val="18"/>
              </w:rPr>
            </w:pPr>
            <w:r>
              <w:rPr>
                <w:rFonts w:hint="eastAsia" w:ascii="宋体" w:hAnsi="宋体" w:cs="宋体"/>
                <w:b/>
                <w:sz w:val="18"/>
                <w:szCs w:val="18"/>
              </w:rPr>
              <w:t>序号</w:t>
            </w:r>
          </w:p>
        </w:tc>
        <w:tc>
          <w:tcPr>
            <w:tcW w:w="585"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评分项目</w:t>
            </w:r>
          </w:p>
        </w:tc>
        <w:tc>
          <w:tcPr>
            <w:tcW w:w="510"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分值</w:t>
            </w:r>
          </w:p>
        </w:tc>
        <w:tc>
          <w:tcPr>
            <w:tcW w:w="6240"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评分细则</w:t>
            </w:r>
          </w:p>
        </w:tc>
        <w:tc>
          <w:tcPr>
            <w:tcW w:w="467"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exact"/>
          <w:jc w:val="center"/>
        </w:trPr>
        <w:tc>
          <w:tcPr>
            <w:tcW w:w="458"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一</w:t>
            </w:r>
          </w:p>
        </w:tc>
        <w:tc>
          <w:tcPr>
            <w:tcW w:w="585"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投标报价</w:t>
            </w:r>
          </w:p>
        </w:tc>
        <w:tc>
          <w:tcPr>
            <w:tcW w:w="510" w:type="dxa"/>
            <w:tcBorders>
              <w:bottom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20</w:t>
            </w:r>
          </w:p>
        </w:tc>
        <w:tc>
          <w:tcPr>
            <w:tcW w:w="6240" w:type="dxa"/>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18"/>
                <w:szCs w:val="18"/>
              </w:rPr>
            </w:pPr>
            <w:r>
              <w:rPr>
                <w:rFonts w:hint="eastAsia" w:ascii="宋体" w:hAnsi="宋体" w:eastAsia="宋体" w:cs="宋体"/>
                <w:sz w:val="18"/>
                <w:szCs w:val="18"/>
              </w:rPr>
              <w:t>价格分采用低价优先法计算，即满足磋商文件要求且报价最低的供应商报价为评标基准价，其价格分为满分</w:t>
            </w:r>
            <w:r>
              <w:rPr>
                <w:rFonts w:hint="eastAsia" w:ascii="宋体" w:hAnsi="宋体" w:cs="宋体"/>
                <w:b/>
                <w:bCs/>
                <w:sz w:val="18"/>
                <w:szCs w:val="18"/>
                <w:lang w:val="en-US" w:eastAsia="zh-CN"/>
              </w:rPr>
              <w:t>2</w:t>
            </w:r>
            <w:r>
              <w:rPr>
                <w:rFonts w:hint="eastAsia" w:ascii="宋体" w:hAnsi="宋体" w:eastAsia="宋体" w:cs="宋体"/>
                <w:b/>
                <w:bCs/>
                <w:sz w:val="18"/>
                <w:szCs w:val="18"/>
              </w:rPr>
              <w:t>0</w:t>
            </w:r>
            <w:r>
              <w:rPr>
                <w:rFonts w:hint="eastAsia" w:ascii="宋体" w:hAnsi="宋体" w:eastAsia="宋体" w:cs="宋体"/>
                <w:sz w:val="18"/>
                <w:szCs w:val="18"/>
              </w:rPr>
              <w:t>分，其它投标人的价格分统一按照以下公式计算：投标报价得分=(最低报价/该投标人的投标报价)×</w:t>
            </w:r>
            <w:r>
              <w:rPr>
                <w:rFonts w:hint="eastAsia" w:ascii="宋体" w:hAnsi="宋体" w:cs="宋体"/>
                <w:b/>
                <w:bCs/>
                <w:sz w:val="18"/>
                <w:szCs w:val="18"/>
                <w:lang w:val="en-US" w:eastAsia="zh-CN"/>
              </w:rPr>
              <w:t>2</w:t>
            </w:r>
            <w:r>
              <w:rPr>
                <w:rFonts w:hint="eastAsia" w:ascii="宋体" w:hAnsi="宋体" w:eastAsia="宋体" w:cs="宋体"/>
                <w:b/>
                <w:bCs/>
                <w:sz w:val="18"/>
                <w:szCs w:val="18"/>
              </w:rPr>
              <w:t>0</w:t>
            </w:r>
            <w:r>
              <w:rPr>
                <w:rFonts w:hint="eastAsia" w:ascii="宋体" w:hAnsi="宋体" w:eastAsia="宋体" w:cs="宋体"/>
                <w:sz w:val="18"/>
                <w:szCs w:val="18"/>
              </w:rPr>
              <w:t>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宋体" w:hAnsi="宋体" w:cs="宋体"/>
                <w:sz w:val="18"/>
                <w:szCs w:val="18"/>
              </w:rPr>
            </w:pPr>
            <w:r>
              <w:rPr>
                <w:rFonts w:hint="eastAsia" w:ascii="宋体" w:hAnsi="宋体" w:eastAsia="宋体" w:cs="宋体"/>
                <w:sz w:val="18"/>
                <w:szCs w:val="18"/>
              </w:rPr>
              <w:t>注：评标小组认为投标供应商的报价明显低于其他通过符合性审查投标供应商的报价，有可能影响产品质量或者不能诚信履约的，评标小组有权要求其在评标现场合理的时间内提供书面说明，必要时提交相关证明材料；投标供应商不能证明其报价合理性的，评标小组将其作为无效投标处理。</w:t>
            </w:r>
          </w:p>
        </w:tc>
        <w:tc>
          <w:tcPr>
            <w:tcW w:w="467" w:type="dxa"/>
            <w:tcBorders>
              <w:left w:val="single" w:color="auto" w:sz="4" w:space="0"/>
            </w:tcBorders>
            <w:noWrap/>
            <w:vAlign w:val="center"/>
          </w:tcPr>
          <w:p>
            <w:pPr>
              <w:pStyle w:val="15"/>
              <w:pBdr>
                <w:bottom w:val="none" w:color="auto" w:sz="0" w:space="0"/>
              </w:pBdr>
              <w:tabs>
                <w:tab w:val="left" w:pos="420"/>
              </w:tabs>
              <w:snapToGrid/>
              <w:spacing w:after="156" w:line="280" w:lineRule="exact"/>
              <w:ind w:left="0" w:leftChars="0" w:firstLine="0" w:firstLineChars="0"/>
              <w:jc w:val="center"/>
              <w:rPr>
                <w:rFonts w:ascii="宋体" w:hAnsi="宋体" w:cs="宋体"/>
                <w:sz w:val="18"/>
                <w:szCs w:val="18"/>
              </w:rPr>
            </w:pPr>
            <w:r>
              <w:rPr>
                <w:rFonts w:hint="eastAsia" w:ascii="宋体" w:hAnsi="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458"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二</w:t>
            </w:r>
          </w:p>
        </w:tc>
        <w:tc>
          <w:tcPr>
            <w:tcW w:w="585"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企业资信</w:t>
            </w:r>
          </w:p>
        </w:tc>
        <w:tc>
          <w:tcPr>
            <w:tcW w:w="510" w:type="dxa"/>
            <w:tcBorders>
              <w:top w:val="single" w:color="auto" w:sz="4" w:space="0"/>
              <w:bottom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20</w:t>
            </w:r>
          </w:p>
        </w:tc>
        <w:tc>
          <w:tcPr>
            <w:tcW w:w="6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z w:val="18"/>
                <w:szCs w:val="18"/>
              </w:rPr>
            </w:pPr>
            <w:r>
              <w:rPr>
                <w:rFonts w:hint="eastAsia" w:ascii="宋体" w:hAnsi="宋体" w:cs="宋体"/>
                <w:sz w:val="18"/>
                <w:szCs w:val="18"/>
              </w:rPr>
              <w:t>1）</w:t>
            </w:r>
            <w:r>
              <w:rPr>
                <w:rFonts w:hint="eastAsia" w:ascii="宋体" w:hAnsi="宋体" w:eastAsia="宋体" w:cs="宋体"/>
                <w:sz w:val="18"/>
                <w:szCs w:val="18"/>
                <w:lang w:val="zh-CN"/>
              </w:rPr>
              <w:t>投标人</w:t>
            </w:r>
            <w:r>
              <w:rPr>
                <w:rFonts w:hint="eastAsia" w:ascii="宋体" w:hAnsi="宋体" w:eastAsia="宋体" w:cs="宋体"/>
                <w:sz w:val="18"/>
                <w:szCs w:val="18"/>
              </w:rPr>
              <w:t>具有</w:t>
            </w:r>
            <w:r>
              <w:rPr>
                <w:rFonts w:hint="eastAsia" w:ascii="宋体" w:hAnsi="宋体" w:cs="宋体"/>
                <w:sz w:val="18"/>
                <w:szCs w:val="18"/>
              </w:rPr>
              <w:t>工程造价咨询甲级，得</w:t>
            </w:r>
            <w:r>
              <w:rPr>
                <w:rFonts w:hint="eastAsia" w:ascii="宋体" w:hAnsi="宋体" w:cs="宋体"/>
                <w:b/>
                <w:bCs/>
                <w:sz w:val="18"/>
                <w:szCs w:val="18"/>
              </w:rPr>
              <w:t>8</w:t>
            </w:r>
            <w:r>
              <w:rPr>
                <w:rFonts w:hint="eastAsia" w:ascii="宋体" w:hAnsi="宋体" w:cs="宋体"/>
                <w:sz w:val="18"/>
                <w:szCs w:val="18"/>
              </w:rPr>
              <w:t>分；造价咨询乙级，得</w:t>
            </w:r>
            <w:r>
              <w:rPr>
                <w:rFonts w:hint="eastAsia" w:ascii="宋体" w:hAnsi="宋体" w:cs="宋体"/>
                <w:b/>
                <w:bCs/>
                <w:sz w:val="18"/>
                <w:szCs w:val="18"/>
                <w:lang w:val="en-US" w:eastAsia="zh-CN"/>
              </w:rPr>
              <w:t>4</w:t>
            </w:r>
            <w:r>
              <w:rPr>
                <w:rFonts w:hint="eastAsia" w:ascii="宋体" w:hAnsi="宋体" w:cs="宋体"/>
                <w:sz w:val="18"/>
                <w:szCs w:val="18"/>
              </w:rPr>
              <w:t>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napToGrid w:val="0"/>
                <w:sz w:val="18"/>
                <w:szCs w:val="18"/>
              </w:rPr>
            </w:pPr>
            <w:r>
              <w:rPr>
                <w:rFonts w:hint="eastAsia" w:ascii="宋体" w:hAnsi="宋体" w:cs="宋体"/>
                <w:snapToGrid w:val="0"/>
                <w:sz w:val="18"/>
                <w:szCs w:val="18"/>
              </w:rPr>
              <w:t>2）</w:t>
            </w:r>
            <w:r>
              <w:rPr>
                <w:rFonts w:hint="eastAsia" w:ascii="宋体" w:hAnsi="宋体" w:eastAsia="宋体" w:cs="宋体"/>
                <w:sz w:val="18"/>
                <w:szCs w:val="18"/>
                <w:lang w:val="zh-CN"/>
              </w:rPr>
              <w:t>投标人</w:t>
            </w:r>
            <w:r>
              <w:rPr>
                <w:rFonts w:hint="eastAsia" w:ascii="宋体" w:hAnsi="宋体" w:cs="宋体"/>
                <w:snapToGrid w:val="0"/>
                <w:sz w:val="18"/>
                <w:szCs w:val="18"/>
              </w:rPr>
              <w:t>营业执照经营范围包含工程监理的得</w:t>
            </w:r>
            <w:r>
              <w:rPr>
                <w:rFonts w:hint="eastAsia" w:ascii="宋体" w:hAnsi="宋体" w:cs="宋体"/>
                <w:b/>
                <w:bCs/>
                <w:snapToGrid w:val="0"/>
                <w:sz w:val="18"/>
                <w:szCs w:val="18"/>
              </w:rPr>
              <w:t>5</w:t>
            </w:r>
            <w:r>
              <w:rPr>
                <w:rFonts w:hint="eastAsia" w:ascii="宋体" w:hAnsi="宋体" w:cs="宋体"/>
                <w:snapToGrid w:val="0"/>
                <w:sz w:val="18"/>
                <w:szCs w:val="18"/>
              </w:rPr>
              <w:t>分，没有不得分。</w:t>
            </w:r>
          </w:p>
          <w:p>
            <w:pPr>
              <w:keepNext w:val="0"/>
              <w:keepLines w:val="0"/>
              <w:pageBreakBefore w:val="0"/>
              <w:widowControl w:val="0"/>
              <w:kinsoku/>
              <w:wordWrap/>
              <w:overflowPunct/>
              <w:topLinePunct w:val="0"/>
              <w:autoSpaceDE/>
              <w:autoSpaceDN/>
              <w:bidi w:val="0"/>
              <w:adjustRightInd/>
              <w:snapToGrid/>
              <w:spacing w:line="240" w:lineRule="exact"/>
              <w:ind w:left="180" w:hanging="180" w:hangingChars="100"/>
              <w:jc w:val="left"/>
              <w:textAlignment w:val="auto"/>
              <w:rPr>
                <w:rFonts w:ascii="宋体" w:hAnsi="宋体" w:cs="宋体"/>
                <w:snapToGrid w:val="0"/>
                <w:sz w:val="18"/>
                <w:szCs w:val="18"/>
              </w:rPr>
            </w:pPr>
            <w:r>
              <w:rPr>
                <w:rFonts w:hint="eastAsia" w:ascii="宋体" w:hAnsi="宋体" w:cs="宋体"/>
                <w:sz w:val="18"/>
                <w:szCs w:val="18"/>
              </w:rPr>
              <w:t>3）</w:t>
            </w:r>
            <w:r>
              <w:rPr>
                <w:rFonts w:hint="eastAsia" w:ascii="宋体" w:hAnsi="宋体" w:eastAsia="宋体" w:cs="宋体"/>
                <w:sz w:val="18"/>
                <w:szCs w:val="18"/>
                <w:lang w:val="zh-CN"/>
              </w:rPr>
              <w:t>投标人在省级工程造价管理协会评定的“工程造价咨询企业信用等级”，</w:t>
            </w:r>
            <w:r>
              <w:rPr>
                <w:rFonts w:hint="eastAsia" w:ascii="宋体" w:hAnsi="宋体" w:eastAsia="宋体" w:cs="宋体"/>
                <w:sz w:val="18"/>
                <w:szCs w:val="18"/>
              </w:rPr>
              <w:t>被评为AA</w:t>
            </w:r>
            <w:r>
              <w:rPr>
                <w:rFonts w:hint="eastAsia" w:ascii="宋体" w:hAnsi="宋体" w:eastAsia="宋体" w:cs="宋体"/>
                <w:sz w:val="18"/>
                <w:szCs w:val="18"/>
                <w:lang w:val="zh-CN"/>
              </w:rPr>
              <w:t>AAA级</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AAA） 的</w:t>
            </w:r>
            <w:r>
              <w:rPr>
                <w:rFonts w:hint="eastAsia" w:ascii="宋体" w:hAnsi="宋体" w:eastAsia="宋体" w:cs="宋体"/>
                <w:sz w:val="18"/>
                <w:szCs w:val="18"/>
                <w:lang w:val="zh-CN"/>
              </w:rPr>
              <w:t>得</w:t>
            </w:r>
            <w:r>
              <w:rPr>
                <w:rFonts w:hint="eastAsia" w:ascii="宋体" w:hAnsi="宋体" w:eastAsia="宋体" w:cs="宋体"/>
                <w:b/>
                <w:bCs/>
                <w:sz w:val="18"/>
                <w:szCs w:val="18"/>
              </w:rPr>
              <w:t>5</w:t>
            </w:r>
            <w:r>
              <w:rPr>
                <w:rFonts w:hint="eastAsia" w:ascii="宋体" w:hAnsi="宋体" w:eastAsia="宋体" w:cs="宋体"/>
                <w:sz w:val="18"/>
                <w:szCs w:val="18"/>
                <w:lang w:val="zh-CN"/>
              </w:rPr>
              <w:t>分；</w:t>
            </w:r>
            <w:r>
              <w:rPr>
                <w:rFonts w:hint="eastAsia" w:ascii="宋体" w:hAnsi="宋体" w:eastAsia="宋体" w:cs="宋体"/>
                <w:sz w:val="18"/>
                <w:szCs w:val="18"/>
              </w:rPr>
              <w:t>AA</w:t>
            </w:r>
            <w:r>
              <w:rPr>
                <w:rFonts w:hint="eastAsia" w:ascii="宋体" w:hAnsi="宋体" w:eastAsia="宋体" w:cs="宋体"/>
                <w:sz w:val="18"/>
                <w:szCs w:val="18"/>
                <w:lang w:val="zh-CN"/>
              </w:rPr>
              <w:t>AA</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AA）</w:t>
            </w:r>
            <w:r>
              <w:rPr>
                <w:rFonts w:hint="eastAsia" w:ascii="宋体" w:hAnsi="宋体" w:eastAsia="宋体" w:cs="宋体"/>
                <w:sz w:val="18"/>
                <w:szCs w:val="18"/>
                <w:lang w:val="zh-CN"/>
              </w:rPr>
              <w:t>级得</w:t>
            </w:r>
            <w:r>
              <w:rPr>
                <w:rFonts w:hint="eastAsia" w:ascii="宋体" w:hAnsi="宋体" w:eastAsia="宋体" w:cs="宋体"/>
                <w:b/>
                <w:bCs/>
                <w:sz w:val="18"/>
                <w:szCs w:val="18"/>
              </w:rPr>
              <w:t>3</w:t>
            </w:r>
            <w:r>
              <w:rPr>
                <w:rFonts w:hint="eastAsia" w:ascii="宋体" w:hAnsi="宋体" w:eastAsia="宋体" w:cs="宋体"/>
                <w:sz w:val="18"/>
                <w:szCs w:val="18"/>
                <w:lang w:val="zh-CN"/>
              </w:rPr>
              <w:t>分；</w:t>
            </w:r>
            <w:r>
              <w:rPr>
                <w:rFonts w:hint="eastAsia" w:ascii="宋体" w:hAnsi="宋体" w:eastAsia="宋体" w:cs="宋体"/>
                <w:sz w:val="18"/>
                <w:szCs w:val="18"/>
              </w:rPr>
              <w:t>A</w:t>
            </w:r>
            <w:r>
              <w:rPr>
                <w:rFonts w:hint="eastAsia" w:ascii="宋体" w:hAnsi="宋体" w:eastAsia="宋体" w:cs="宋体"/>
                <w:sz w:val="18"/>
                <w:szCs w:val="18"/>
                <w:lang w:val="zh-CN"/>
              </w:rPr>
              <w:t>AA级</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w:t>
            </w:r>
            <w:r>
              <w:rPr>
                <w:rFonts w:hint="eastAsia" w:ascii="宋体" w:hAnsi="宋体" w:eastAsia="宋体" w:cs="宋体"/>
                <w:sz w:val="18"/>
                <w:szCs w:val="18"/>
                <w:lang w:val="zh-CN"/>
              </w:rPr>
              <w:t>得</w:t>
            </w:r>
            <w:r>
              <w:rPr>
                <w:rFonts w:hint="eastAsia" w:ascii="宋体" w:hAnsi="宋体" w:eastAsia="宋体" w:cs="宋体"/>
                <w:b/>
                <w:bCs/>
                <w:sz w:val="18"/>
                <w:szCs w:val="18"/>
              </w:rPr>
              <w:t>1</w:t>
            </w:r>
            <w:r>
              <w:rPr>
                <w:rFonts w:hint="eastAsia" w:ascii="宋体" w:hAnsi="宋体" w:eastAsia="宋体" w:cs="宋体"/>
                <w:sz w:val="18"/>
                <w:szCs w:val="18"/>
                <w:lang w:val="zh-CN"/>
              </w:rPr>
              <w:t>分</w:t>
            </w:r>
            <w:r>
              <w:rPr>
                <w:rFonts w:hint="eastAsia" w:ascii="宋体" w:hAnsi="宋体" w:cs="宋体"/>
                <w:sz w:val="18"/>
                <w:szCs w:val="18"/>
              </w:rPr>
              <w:t>；</w:t>
            </w:r>
            <w:r>
              <w:rPr>
                <w:rFonts w:hint="eastAsia" w:ascii="宋体" w:hAnsi="宋体" w:eastAsia="宋体" w:cs="宋体"/>
                <w:sz w:val="18"/>
                <w:szCs w:val="18"/>
              </w:rPr>
              <w:t>其余不得分</w:t>
            </w:r>
            <w:r>
              <w:rPr>
                <w:rFonts w:hint="eastAsia" w:ascii="宋体" w:hAnsi="宋体" w:cs="宋体"/>
                <w:sz w:val="18"/>
                <w:szCs w:val="18"/>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z w:val="18"/>
                <w:szCs w:val="18"/>
              </w:rPr>
            </w:pPr>
            <w:r>
              <w:rPr>
                <w:rFonts w:hint="eastAsia" w:ascii="宋体" w:hAnsi="宋体" w:cs="宋体"/>
                <w:sz w:val="18"/>
                <w:szCs w:val="18"/>
              </w:rPr>
              <w:t>4）</w:t>
            </w:r>
            <w:r>
              <w:rPr>
                <w:rFonts w:hint="eastAsia" w:ascii="宋体" w:hAnsi="宋体" w:eastAsia="宋体" w:cs="宋体"/>
                <w:sz w:val="18"/>
                <w:szCs w:val="18"/>
                <w:lang w:val="zh-CN"/>
              </w:rPr>
              <w:t>投标人</w:t>
            </w:r>
            <w:r>
              <w:rPr>
                <w:rFonts w:hint="eastAsia" w:ascii="宋体" w:hAnsi="宋体" w:eastAsia="宋体" w:cs="宋体"/>
                <w:sz w:val="18"/>
                <w:szCs w:val="18"/>
              </w:rPr>
              <w:t>具有在有效期内的ISO9001质量管理体系认证证书</w:t>
            </w:r>
            <w:r>
              <w:rPr>
                <w:rFonts w:hint="eastAsia" w:ascii="宋体" w:hAnsi="宋体" w:cs="宋体"/>
                <w:sz w:val="18"/>
                <w:szCs w:val="18"/>
              </w:rPr>
              <w:t>得</w:t>
            </w:r>
            <w:r>
              <w:rPr>
                <w:rFonts w:hint="eastAsia" w:ascii="宋体" w:hAnsi="宋体" w:cs="宋体"/>
                <w:b/>
                <w:bCs/>
                <w:sz w:val="18"/>
                <w:szCs w:val="18"/>
              </w:rPr>
              <w:t>2</w:t>
            </w:r>
            <w:r>
              <w:rPr>
                <w:rFonts w:hint="eastAsia" w:ascii="宋体" w:hAnsi="宋体" w:cs="宋体"/>
                <w:sz w:val="18"/>
                <w:szCs w:val="18"/>
              </w:rPr>
              <w:t>分</w:t>
            </w:r>
            <w:r>
              <w:rPr>
                <w:rFonts w:hint="eastAsia" w:ascii="宋体" w:hAnsi="宋体" w:cs="宋体"/>
                <w:snapToGrid w:val="0"/>
                <w:sz w:val="18"/>
                <w:szCs w:val="18"/>
              </w:rPr>
              <w:t>，没有不得分。（以上提供相关证明材料复印件并加盖单位公章）。</w:t>
            </w:r>
          </w:p>
        </w:tc>
        <w:tc>
          <w:tcPr>
            <w:tcW w:w="467" w:type="dxa"/>
            <w:tcBorders>
              <w:left w:val="single" w:color="auto" w:sz="4" w:space="0"/>
            </w:tcBorders>
            <w:noWrap/>
            <w:vAlign w:val="center"/>
          </w:tcPr>
          <w:p>
            <w:pPr>
              <w:pStyle w:val="15"/>
              <w:pBdr>
                <w:bottom w:val="none" w:color="auto" w:sz="0" w:space="0"/>
              </w:pBdr>
              <w:tabs>
                <w:tab w:val="left" w:pos="420"/>
              </w:tabs>
              <w:snapToGrid/>
              <w:spacing w:after="156" w:line="280" w:lineRule="exact"/>
              <w:ind w:left="0" w:leftChars="0" w:firstLine="0" w:firstLineChars="0"/>
              <w:jc w:val="center"/>
              <w:rPr>
                <w:rFonts w:ascii="宋体" w:hAnsi="宋体" w:cs="宋体"/>
                <w:sz w:val="18"/>
                <w:szCs w:val="18"/>
              </w:rPr>
            </w:pPr>
            <w:r>
              <w:rPr>
                <w:rFonts w:hint="eastAsia" w:ascii="宋体" w:hAnsi="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458"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三</w:t>
            </w:r>
          </w:p>
        </w:tc>
        <w:tc>
          <w:tcPr>
            <w:tcW w:w="585"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项目组成员</w:t>
            </w:r>
          </w:p>
        </w:tc>
        <w:tc>
          <w:tcPr>
            <w:tcW w:w="510" w:type="dxa"/>
            <w:vMerge w:val="restart"/>
            <w:tcBorders>
              <w:top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15</w:t>
            </w:r>
          </w:p>
        </w:tc>
        <w:tc>
          <w:tcPr>
            <w:tcW w:w="624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1）</w:t>
            </w:r>
            <w:r>
              <w:rPr>
                <w:rFonts w:hint="eastAsia" w:ascii="宋体" w:hAnsi="宋体" w:cs="宋体"/>
                <w:sz w:val="18"/>
                <w:szCs w:val="18"/>
                <w:lang w:val="zh-CN"/>
              </w:rPr>
              <w:t>投标人</w:t>
            </w:r>
            <w:r>
              <w:rPr>
                <w:rFonts w:hint="eastAsia" w:ascii="宋体" w:hAnsi="宋体" w:cs="宋体"/>
                <w:sz w:val="18"/>
                <w:szCs w:val="18"/>
              </w:rPr>
              <w:t>针对本项目拟投入的项目负责人具有国家注册造价工程师执业资格证书的得</w:t>
            </w:r>
            <w:r>
              <w:rPr>
                <w:rFonts w:hint="eastAsia" w:ascii="宋体" w:hAnsi="宋体" w:cs="宋体"/>
                <w:b/>
                <w:bCs/>
                <w:sz w:val="18"/>
                <w:szCs w:val="18"/>
              </w:rPr>
              <w:t>3</w:t>
            </w:r>
            <w:r>
              <w:rPr>
                <w:rFonts w:hint="eastAsia" w:ascii="宋体" w:hAnsi="宋体" w:cs="宋体"/>
                <w:sz w:val="18"/>
                <w:szCs w:val="18"/>
              </w:rPr>
              <w:t>分，不满足不得分。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2）</w:t>
            </w:r>
            <w:r>
              <w:rPr>
                <w:rFonts w:hint="eastAsia" w:ascii="宋体" w:hAnsi="宋体" w:cs="宋体"/>
                <w:sz w:val="18"/>
                <w:szCs w:val="18"/>
                <w:lang w:val="zh-CN"/>
              </w:rPr>
              <w:t>投标人</w:t>
            </w:r>
            <w:r>
              <w:rPr>
                <w:rFonts w:hint="eastAsia" w:ascii="宋体" w:hAnsi="宋体" w:cs="宋体"/>
                <w:sz w:val="18"/>
                <w:szCs w:val="18"/>
              </w:rPr>
              <w:t>针对本项目拟投入的项目负责人具有高级工程师（含）以上职称的得</w:t>
            </w:r>
            <w:r>
              <w:rPr>
                <w:rFonts w:hint="eastAsia" w:ascii="宋体" w:hAnsi="宋体" w:cs="宋体"/>
                <w:b/>
                <w:bCs/>
                <w:sz w:val="18"/>
                <w:szCs w:val="18"/>
              </w:rPr>
              <w:t>3</w:t>
            </w:r>
            <w:r>
              <w:rPr>
                <w:rFonts w:hint="eastAsia" w:ascii="宋体" w:hAnsi="宋体" w:cs="宋体"/>
                <w:sz w:val="18"/>
                <w:szCs w:val="18"/>
              </w:rPr>
              <w:t>分，具有工程师职称的得</w:t>
            </w:r>
            <w:r>
              <w:rPr>
                <w:rFonts w:hint="eastAsia" w:ascii="宋体" w:hAnsi="宋体" w:cs="宋体"/>
                <w:b/>
                <w:bCs/>
                <w:sz w:val="18"/>
                <w:szCs w:val="18"/>
              </w:rPr>
              <w:t>1</w:t>
            </w:r>
            <w:r>
              <w:rPr>
                <w:rFonts w:hint="eastAsia" w:ascii="宋体" w:hAnsi="宋体" w:cs="宋体"/>
                <w:sz w:val="18"/>
                <w:szCs w:val="18"/>
              </w:rPr>
              <w:t>分，不满足不得分。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（以上提供相关证明材料复印件并加盖单位公章）</w:t>
            </w:r>
          </w:p>
        </w:tc>
        <w:tc>
          <w:tcPr>
            <w:tcW w:w="467" w:type="dxa"/>
            <w:tcBorders>
              <w:left w:val="single" w:color="auto" w:sz="4" w:space="0"/>
            </w:tcBorders>
            <w:noWrap/>
            <w:vAlign w:val="center"/>
          </w:tcPr>
          <w:p>
            <w:pPr>
              <w:spacing w:after="156" w:line="280" w:lineRule="exact"/>
              <w:jc w:val="center"/>
              <w:rPr>
                <w:rFonts w:ascii="宋体" w:hAnsi="宋体" w:cs="宋体"/>
                <w:sz w:val="18"/>
                <w:szCs w:val="18"/>
              </w:rPr>
            </w:pPr>
            <w:r>
              <w:rPr>
                <w:rFonts w:hint="eastAsia" w:ascii="宋体" w:hAnsi="宋体" w:cs="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458" w:type="dxa"/>
            <w:vMerge w:val="continue"/>
            <w:noWrap/>
            <w:vAlign w:val="center"/>
          </w:tcPr>
          <w:p>
            <w:pPr>
              <w:spacing w:after="156" w:line="280" w:lineRule="exact"/>
              <w:jc w:val="left"/>
              <w:rPr>
                <w:rFonts w:hint="eastAsia" w:ascii="宋体" w:hAnsi="宋体" w:cs="宋体"/>
                <w:sz w:val="18"/>
                <w:szCs w:val="18"/>
              </w:rPr>
            </w:pPr>
          </w:p>
        </w:tc>
        <w:tc>
          <w:tcPr>
            <w:tcW w:w="585" w:type="dxa"/>
            <w:vMerge w:val="continue"/>
            <w:noWrap/>
            <w:vAlign w:val="center"/>
          </w:tcPr>
          <w:p>
            <w:pPr>
              <w:spacing w:after="156" w:line="280" w:lineRule="exact"/>
              <w:jc w:val="left"/>
              <w:rPr>
                <w:rFonts w:hint="eastAsia" w:ascii="宋体" w:hAnsi="宋体" w:cs="宋体"/>
                <w:sz w:val="18"/>
                <w:szCs w:val="18"/>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项目组成员要求有5人以上组成（不含项目负责人），其中具有注册造价工程师（或注册监理工程师、注册建筑工程师、注册结构工程师）的，每1名可得3分，最高可得</w:t>
            </w:r>
            <w:r>
              <w:rPr>
                <w:rFonts w:hint="eastAsia" w:ascii="宋体" w:hAnsi="宋体" w:cs="宋体"/>
                <w:b/>
                <w:bCs/>
                <w:sz w:val="18"/>
                <w:szCs w:val="18"/>
              </w:rPr>
              <w:t>9</w:t>
            </w:r>
            <w:r>
              <w:rPr>
                <w:rFonts w:hint="eastAsia" w:ascii="宋体" w:hAnsi="宋体" w:cs="宋体"/>
                <w:sz w:val="18"/>
                <w:szCs w:val="18"/>
              </w:rPr>
              <w:t>分。（提供相关证明材料复印件并加盖单位公章）</w:t>
            </w:r>
          </w:p>
        </w:tc>
        <w:tc>
          <w:tcPr>
            <w:tcW w:w="467" w:type="dxa"/>
            <w:noWrap/>
            <w:vAlign w:val="center"/>
          </w:tcPr>
          <w:p>
            <w:pPr>
              <w:spacing w:after="156" w:line="280" w:lineRule="exact"/>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58"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四</w:t>
            </w:r>
          </w:p>
        </w:tc>
        <w:tc>
          <w:tcPr>
            <w:tcW w:w="585"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项目实施方案</w:t>
            </w:r>
          </w:p>
        </w:tc>
        <w:tc>
          <w:tcPr>
            <w:tcW w:w="510" w:type="dxa"/>
            <w:vMerge w:val="restart"/>
            <w:noWrap/>
            <w:vAlign w:val="center"/>
          </w:tcPr>
          <w:p>
            <w:pPr>
              <w:spacing w:after="156"/>
              <w:jc w:val="center"/>
              <w:rPr>
                <w:rFonts w:ascii="宋体" w:hAnsi="宋体" w:cs="宋体"/>
                <w:szCs w:val="21"/>
              </w:rPr>
            </w:pPr>
            <w:r>
              <w:rPr>
                <w:rFonts w:hint="eastAsia" w:ascii="宋体" w:hAnsi="宋体" w:cs="宋体"/>
                <w:szCs w:val="21"/>
              </w:rPr>
              <w:t>45</w:t>
            </w: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1、项目实施的组织机构、项目组成员、工作内容、方法等，满分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val="en-US"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458" w:type="dxa"/>
            <w:vMerge w:val="continue"/>
            <w:noWrap/>
            <w:vAlign w:val="center"/>
          </w:tcPr>
          <w:p>
            <w:pPr>
              <w:spacing w:after="156"/>
              <w:jc w:val="left"/>
              <w:rPr>
                <w:rFonts w:ascii="宋体" w:hAnsi="宋体" w:cs="宋体"/>
                <w:szCs w:val="21"/>
              </w:rPr>
            </w:pPr>
          </w:p>
        </w:tc>
        <w:tc>
          <w:tcPr>
            <w:tcW w:w="585" w:type="dxa"/>
            <w:vMerge w:val="continue"/>
            <w:noWrap/>
            <w:vAlign w:val="center"/>
          </w:tcPr>
          <w:p>
            <w:pPr>
              <w:spacing w:after="156"/>
              <w:jc w:val="left"/>
              <w:rPr>
                <w:rFonts w:ascii="宋体" w:hAnsi="宋体" w:cs="宋体"/>
                <w:szCs w:val="21"/>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2、对咨询工作提供的实施方案（包括但不限于服务目标、施工方案优化、清单和控制价编制、过程质量督查、对接审计资料等服务内容）进行综合评分，上述方案全面合理、科学可行，完全契合项目需求且具有针对性，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58" w:type="dxa"/>
            <w:vMerge w:val="continue"/>
            <w:noWrap/>
            <w:vAlign w:val="center"/>
          </w:tcPr>
          <w:p>
            <w:pPr>
              <w:spacing w:after="156"/>
              <w:jc w:val="left"/>
              <w:rPr>
                <w:rFonts w:ascii="宋体" w:hAnsi="宋体" w:cs="宋体"/>
                <w:szCs w:val="21"/>
              </w:rPr>
            </w:pPr>
          </w:p>
        </w:tc>
        <w:tc>
          <w:tcPr>
            <w:tcW w:w="585" w:type="dxa"/>
            <w:vMerge w:val="continue"/>
            <w:noWrap/>
            <w:vAlign w:val="center"/>
          </w:tcPr>
          <w:p>
            <w:pPr>
              <w:spacing w:after="156"/>
              <w:jc w:val="left"/>
              <w:rPr>
                <w:rFonts w:ascii="宋体" w:hAnsi="宋体" w:cs="宋体"/>
                <w:szCs w:val="21"/>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3、针对零星项目委托内容的特点、关键问题的认识及其对策措施、重难点解决方案以及合理化建议进行打分，满分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bl>
    <w:p>
      <w:pPr>
        <w:spacing w:after="156" w:line="280" w:lineRule="exact"/>
        <w:rPr>
          <w:rFonts w:hint="eastAsia" w:ascii="楷体" w:hAnsi="楷体" w:eastAsia="楷体" w:cs="楷体"/>
          <w:kern w:val="0"/>
          <w:sz w:val="24"/>
          <w:szCs w:val="21"/>
          <w:lang w:val="en-US" w:eastAsia="zh-CN" w:bidi="ar-SA"/>
        </w:rPr>
      </w:pPr>
      <w:bookmarkStart w:id="79" w:name="_Toc29299"/>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2"/>
        <w:spacing w:after="319"/>
        <w:rPr>
          <w:rFonts w:ascii="楷体" w:hAnsi="楷体" w:eastAsia="楷体" w:cs="楷体"/>
        </w:rPr>
      </w:pPr>
      <w:r>
        <w:rPr>
          <w:rFonts w:hint="eastAsia" w:ascii="楷体" w:hAnsi="楷体" w:eastAsia="楷体" w:cs="楷体"/>
        </w:rPr>
        <w:t>第五章  磋商响应文件格式</w:t>
      </w:r>
      <w:bookmarkEnd w:id="79"/>
    </w:p>
    <w:bookmarkEnd w:id="55"/>
    <w:bookmarkEnd w:id="56"/>
    <w:bookmarkEnd w:id="57"/>
    <w:bookmarkEnd w:id="70"/>
    <w:bookmarkEnd w:id="71"/>
    <w:bookmarkEnd w:id="72"/>
    <w:p>
      <w:pPr>
        <w:jc w:val="center"/>
        <w:rPr>
          <w:rFonts w:ascii="楷体" w:hAnsi="楷体" w:eastAsia="楷体" w:cs="楷体"/>
          <w:b/>
          <w:bCs/>
          <w:sz w:val="72"/>
          <w:szCs w:val="72"/>
        </w:rPr>
      </w:pPr>
      <w:bookmarkStart w:id="80" w:name="_Toc120614282"/>
      <w:bookmarkStart w:id="81" w:name="_Toc49090576"/>
      <w:bookmarkStart w:id="82" w:name="_Toc26554094"/>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jc w:val="distribute"/>
        <w:rPr>
          <w:rFonts w:hint="eastAsia" w:ascii="楷体" w:hAnsi="楷体" w:eastAsia="楷体" w:cs="楷体"/>
          <w:b/>
          <w:bCs/>
          <w:w w:val="80"/>
          <w:sz w:val="32"/>
          <w:szCs w:val="36"/>
          <w:lang w:eastAsia="zh-CN"/>
        </w:rPr>
      </w:pPr>
      <w:r>
        <w:rPr>
          <w:rFonts w:hint="eastAsia" w:ascii="楷体" w:hAnsi="楷体" w:eastAsia="楷体" w:cs="楷体"/>
          <w:b/>
          <w:bCs/>
          <w:sz w:val="32"/>
          <w:szCs w:val="36"/>
        </w:rPr>
        <w:t>项目名称：</w:t>
      </w:r>
      <w:r>
        <w:rPr>
          <w:rFonts w:hint="eastAsia" w:ascii="楷体" w:hAnsi="楷体" w:eastAsia="楷体" w:cs="楷体"/>
          <w:b/>
          <w:bCs/>
          <w:w w:val="80"/>
          <w:sz w:val="32"/>
          <w:szCs w:val="36"/>
        </w:rPr>
        <w:t xml:space="preserve">南京交通职业技术学院 </w:t>
      </w:r>
      <w:r>
        <w:rPr>
          <w:rFonts w:hint="eastAsia" w:ascii="楷体" w:hAnsi="楷体" w:eastAsia="楷体" w:cs="楷体"/>
          <w:b/>
          <w:bCs/>
          <w:w w:val="80"/>
          <w:sz w:val="32"/>
          <w:szCs w:val="36"/>
          <w:lang w:eastAsia="zh-CN"/>
        </w:rPr>
        <w:t>2021年零星项目咨询服务采购</w:t>
      </w:r>
    </w:p>
    <w:p>
      <w:pPr>
        <w:ind w:left="1923" w:leftChars="304" w:hanging="1285" w:hangingChars="400"/>
        <w:rPr>
          <w:rFonts w:ascii="楷体" w:hAnsi="楷体" w:eastAsia="楷体" w:cs="楷体"/>
          <w:b/>
          <w:bCs/>
          <w:color w:val="FF0000"/>
          <w:sz w:val="32"/>
          <w:szCs w:val="36"/>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JY2021055</w:t>
      </w:r>
      <w:r>
        <w:rPr>
          <w:rFonts w:hint="eastAsia" w:ascii="楷体" w:hAnsi="楷体" w:eastAsia="楷体" w:cs="楷体"/>
          <w:b/>
          <w:bCs/>
          <w:sz w:val="32"/>
          <w:szCs w:val="36"/>
        </w:rPr>
        <w:t xml:space="preserve"> </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磋商供应商具有良好的商业信誉和健全的财务会计制度，提供2019年度的财务状况报告（成立不满一年不需提供）；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服务方案</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0" w:firstLineChars="200"/>
              <w:jc w:val="left"/>
              <w:rPr>
                <w:rFonts w:hint="eastAsia" w:ascii="楷体" w:hAnsi="楷体" w:eastAsia="楷体" w:cs="楷体"/>
                <w:b/>
                <w:i/>
                <w:sz w:val="24"/>
                <w:szCs w:val="24"/>
                <w:u w:val="single"/>
              </w:rPr>
            </w:pP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8"/>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8"/>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8"/>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8"/>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8"/>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8"/>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83" w:name="_Toc449017027"/>
    </w:p>
    <w:bookmarkEnd w:id="58"/>
    <w:bookmarkEnd w:id="59"/>
    <w:bookmarkEnd w:id="80"/>
    <w:bookmarkEnd w:id="81"/>
    <w:bookmarkEnd w:id="82"/>
    <w:bookmarkEnd w:id="83"/>
    <w:p>
      <w:pPr>
        <w:pStyle w:val="39"/>
        <w:numPr>
          <w:ilvl w:val="0"/>
          <w:numId w:val="0"/>
        </w:numPr>
        <w:jc w:val="center"/>
        <w:rPr>
          <w:rFonts w:ascii="楷体" w:hAnsi="楷体" w:eastAsia="楷体" w:cs="楷体"/>
        </w:rPr>
      </w:pPr>
      <w:bookmarkStart w:id="84" w:name="_Toc25957"/>
      <w:bookmarkStart w:id="85" w:name="_Toc14521"/>
      <w:bookmarkStart w:id="86" w:name="_Toc13734"/>
      <w:bookmarkStart w:id="87" w:name="_Toc769"/>
      <w:r>
        <w:rPr>
          <w:rFonts w:hint="eastAsia" w:ascii="楷体" w:hAnsi="楷体" w:eastAsia="楷体" w:cs="楷体"/>
        </w:rPr>
        <w:t>一、磋商函</w:t>
      </w:r>
      <w:bookmarkEnd w:id="84"/>
      <w:bookmarkEnd w:id="85"/>
      <w:bookmarkEnd w:id="86"/>
      <w:bookmarkEnd w:id="87"/>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rPr>
        <w:t xml:space="preserve"> </w:t>
      </w:r>
      <w:r>
        <w:rPr>
          <w:rFonts w:hint="eastAsia" w:ascii="楷体" w:hAnsi="楷体" w:eastAsia="楷体" w:cs="楷体"/>
          <w:b/>
          <w:bCs/>
          <w:sz w:val="24"/>
          <w:szCs w:val="24"/>
          <w:lang w:eastAsia="zh-CN"/>
        </w:rPr>
        <w:t>2021年零星项目咨询服务采购项目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JY2021055</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8" w:name="_Toc27417"/>
      <w:bookmarkStart w:id="89" w:name="_Toc2237"/>
    </w:p>
    <w:p>
      <w:pPr>
        <w:pStyle w:val="2"/>
        <w:rPr>
          <w:rFonts w:hint="eastAsia" w:eastAsia="楷体"/>
          <w:lang w:val="en-US" w:eastAsia="zh-CN"/>
        </w:rPr>
      </w:pPr>
      <w:r>
        <w:rPr>
          <w:rFonts w:hint="eastAsia" w:ascii="楷体" w:hAnsi="楷体" w:eastAsia="楷体" w:cs="楷体"/>
          <w:sz w:val="24"/>
          <w:szCs w:val="24"/>
          <w:lang w:val="en-US" w:eastAsia="zh-CN"/>
        </w:rPr>
        <w:t>.</w:t>
      </w:r>
    </w:p>
    <w:bookmarkEnd w:id="88"/>
    <w:bookmarkEnd w:id="89"/>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39"/>
        <w:numPr>
          <w:ilvl w:val="0"/>
          <w:numId w:val="0"/>
        </w:numPr>
        <w:jc w:val="center"/>
        <w:rPr>
          <w:rFonts w:hint="eastAsia" w:ascii="楷体" w:hAnsi="楷体" w:eastAsia="楷体" w:cs="楷体"/>
        </w:rPr>
      </w:pPr>
      <w:bookmarkStart w:id="90" w:name="_Toc10933"/>
      <w:bookmarkStart w:id="91" w:name="_Toc4264"/>
      <w:r>
        <w:rPr>
          <w:rFonts w:hint="eastAsia" w:ascii="楷体" w:hAnsi="楷体" w:eastAsia="楷体" w:cs="楷体"/>
        </w:rPr>
        <w:t>二、报价表</w:t>
      </w:r>
      <w:bookmarkEnd w:id="90"/>
      <w:bookmarkEnd w:id="91"/>
    </w:p>
    <w:p>
      <w:pPr>
        <w:pStyle w:val="2"/>
        <w:ind w:firstLine="210"/>
      </w:pPr>
    </w:p>
    <w:tbl>
      <w:tblPr>
        <w:tblStyle w:val="23"/>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 xml:space="preserve">南京交通职业技术学院 </w:t>
            </w:r>
            <w:r>
              <w:rPr>
                <w:rFonts w:hint="eastAsia" w:ascii="楷体" w:hAnsi="楷体" w:eastAsia="楷体" w:cs="楷体"/>
                <w:b/>
                <w:bCs/>
                <w:sz w:val="24"/>
                <w:szCs w:val="24"/>
                <w:lang w:eastAsia="zh-CN"/>
              </w:rPr>
              <w:t>2021年零星项目咨询服务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eastAsia" w:ascii="楷体" w:hAnsi="楷体" w:eastAsia="楷体" w:cs="楷体"/>
                <w:sz w:val="24"/>
                <w:szCs w:val="24"/>
                <w:lang w:val="en-US" w:eastAsia="zh-CN"/>
              </w:rPr>
            </w:pPr>
            <w:r>
              <w:rPr>
                <w:rFonts w:hint="eastAsia" w:ascii="楷体" w:hAnsi="楷体" w:eastAsia="楷体" w:cs="楷体"/>
                <w:b/>
                <w:bCs/>
                <w:sz w:val="24"/>
                <w:szCs w:val="24"/>
                <w:lang w:eastAsia="zh-CN"/>
              </w:rPr>
              <w:t>JY2021055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总报价小写：</w:t>
            </w:r>
            <w:r>
              <w:rPr>
                <w:rFonts w:hint="eastAsia" w:ascii="楷体" w:hAnsi="楷体" w:eastAsia="楷体" w:cs="楷体"/>
                <w:sz w:val="24"/>
                <w:szCs w:val="24"/>
                <w:u w:val="single"/>
              </w:rPr>
              <w:t>　　        　 </w:t>
            </w:r>
            <w:r>
              <w:rPr>
                <w:rFonts w:hint="eastAsia" w:ascii="楷体" w:hAnsi="楷体" w:eastAsia="楷体" w:cs="楷体"/>
                <w:sz w:val="24"/>
                <w:szCs w:val="24"/>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92" w:name="_Toc6890"/>
      <w:bookmarkStart w:id="93" w:name="_Toc818"/>
      <w:bookmarkStart w:id="94" w:name="_Toc12366"/>
      <w:bookmarkStart w:id="95" w:name="_Toc5613"/>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rPr>
        <w:t>（</w:t>
      </w:r>
      <w:r>
        <w:rPr>
          <w:rFonts w:ascii="仿宋" w:hAnsi="仿宋" w:eastAsia="仿宋" w:cs="仿宋"/>
          <w:color w:val="000000"/>
          <w:sz w:val="24"/>
        </w:rPr>
        <w:t>1</w:t>
      </w:r>
      <w:r>
        <w:rPr>
          <w:rFonts w:hint="eastAsia" w:ascii="仿宋" w:hAnsi="仿宋" w:eastAsia="仿宋" w:cs="仿宋"/>
          <w:color w:val="000000"/>
          <w:sz w:val="24"/>
        </w:rPr>
        <w:t>）相应总报价应包含本项目服务期间的所有含税费用，</w:t>
      </w:r>
      <w:r>
        <w:rPr>
          <w:rFonts w:hint="eastAsia" w:ascii="仿宋" w:hAnsi="仿宋" w:eastAsia="仿宋" w:cs="仿宋"/>
          <w:color w:val="000000"/>
          <w:sz w:val="24"/>
          <w:szCs w:val="24"/>
        </w:rPr>
        <w:t>包括但不仅限于人员费用（12个月工资、全年福利、培训、体检、社会保险、加班费等），服务所用设备、工具购置及维护费用，服务所用材料消耗费用、管理费用、利润、税金等支出。</w:t>
      </w:r>
    </w:p>
    <w:p>
      <w:pPr>
        <w:tabs>
          <w:tab w:val="left" w:pos="142"/>
        </w:tabs>
        <w:spacing w:line="50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w:t>
      </w:r>
      <w:r>
        <w:rPr>
          <w:rFonts w:ascii="仿宋" w:hAnsi="仿宋" w:eastAsia="仿宋" w:cs="仿宋"/>
          <w:color w:val="000000"/>
          <w:sz w:val="24"/>
        </w:rPr>
        <w:t>2</w:t>
      </w:r>
      <w:r>
        <w:rPr>
          <w:rFonts w:hint="eastAsia" w:ascii="仿宋" w:hAnsi="仿宋" w:eastAsia="仿宋" w:cs="仿宋"/>
          <w:color w:val="000000"/>
          <w:sz w:val="24"/>
          <w:lang w:val="zh-CN"/>
        </w:rPr>
        <w:t>）</w:t>
      </w:r>
      <w:r>
        <w:rPr>
          <w:rFonts w:hint="eastAsia" w:ascii="仿宋" w:hAnsi="仿宋" w:eastAsia="仿宋" w:cs="仿宋"/>
          <w:color w:val="000000"/>
          <w:sz w:val="24"/>
        </w:rPr>
        <w:t>相应</w:t>
      </w:r>
      <w:r>
        <w:rPr>
          <w:rFonts w:hint="eastAsia" w:ascii="仿宋" w:hAnsi="仿宋" w:eastAsia="仿宋" w:cs="仿宋"/>
          <w:color w:val="000000"/>
          <w:sz w:val="24"/>
          <w:lang w:val="zh-CN"/>
        </w:rPr>
        <w:t>商不得实质性改动开标一览表格式及内容。</w:t>
      </w:r>
      <w:bookmarkStart w:id="96" w:name="_Toc14915"/>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（3）磋商文件未列明，而响应商认为必需的费用也需列入报价。</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（4）报价是一年价格，本报价必须充分考虑所有可能影响到报价的价格因素，一旦响应结束最终成交，总价将包定，合同期内一般不予调整。如发生漏、缺、少项，都将被认为是成交商的报价让利行为。</w:t>
      </w:r>
    </w:p>
    <w:p>
      <w:pPr>
        <w:tabs>
          <w:tab w:val="left" w:pos="142"/>
        </w:tabs>
        <w:spacing w:line="500" w:lineRule="exact"/>
        <w:ind w:firstLine="480" w:firstLineChars="200"/>
        <w:jc w:val="left"/>
        <w:rPr>
          <w:rFonts w:hint="eastAsia" w:ascii="仿宋" w:hAnsi="仿宋" w:eastAsia="仿宋" w:cs="仿宋"/>
          <w:color w:val="000000"/>
          <w:sz w:val="24"/>
          <w:szCs w:val="24"/>
        </w:rPr>
      </w:pPr>
    </w:p>
    <w:bookmarkEnd w:id="96"/>
    <w:p>
      <w:pPr>
        <w:pStyle w:val="39"/>
        <w:numPr>
          <w:ilvl w:val="0"/>
          <w:numId w:val="0"/>
        </w:numPr>
        <w:jc w:val="center"/>
        <w:outlineLvl w:val="9"/>
        <w:rPr>
          <w:rFonts w:hint="eastAsia" w:ascii="楷体" w:hAnsi="楷体" w:eastAsia="楷体" w:cs="楷体"/>
        </w:rPr>
      </w:pPr>
    </w:p>
    <w:p>
      <w:pPr>
        <w:pStyle w:val="39"/>
        <w:numPr>
          <w:ilvl w:val="0"/>
          <w:numId w:val="0"/>
        </w:numPr>
        <w:jc w:val="center"/>
        <w:outlineLvl w:val="9"/>
        <w:rPr>
          <w:rFonts w:hint="eastAsia" w:ascii="楷体" w:hAnsi="楷体" w:eastAsia="楷体" w:cs="楷体"/>
        </w:rPr>
      </w:pPr>
    </w:p>
    <w:p>
      <w:pPr>
        <w:pStyle w:val="39"/>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39"/>
        <w:numPr>
          <w:ilvl w:val="0"/>
          <w:numId w:val="0"/>
        </w:numPr>
        <w:jc w:val="center"/>
        <w:outlineLvl w:val="9"/>
        <w:rPr>
          <w:rFonts w:hint="eastAsia" w:ascii="楷体" w:hAnsi="楷体" w:eastAsia="楷体" w:cs="楷体"/>
        </w:rPr>
      </w:pPr>
    </w:p>
    <w:bookmarkEnd w:id="92"/>
    <w:p>
      <w:pPr>
        <w:pStyle w:val="39"/>
        <w:numPr>
          <w:ilvl w:val="0"/>
          <w:numId w:val="0"/>
        </w:numPr>
        <w:jc w:val="center"/>
        <w:rPr>
          <w:rFonts w:hint="eastAsia" w:ascii="楷体" w:hAnsi="楷体" w:eastAsia="楷体" w:cs="楷体"/>
        </w:rPr>
      </w:pPr>
      <w:bookmarkStart w:id="97" w:name="_Toc32133"/>
      <w:bookmarkStart w:id="98" w:name="_Toc1752"/>
      <w:bookmarkStart w:id="99" w:name="_Toc8031"/>
      <w:bookmarkStart w:id="100" w:name="_Toc690"/>
      <w:bookmarkStart w:id="101" w:name="_Toc448482858"/>
      <w:bookmarkStart w:id="102" w:name="_Toc365968485"/>
      <w:bookmarkStart w:id="103" w:name="_Toc351733250"/>
      <w:bookmarkStart w:id="104" w:name="_Toc16074"/>
      <w:r>
        <w:rPr>
          <w:rFonts w:hint="eastAsia" w:ascii="楷体" w:hAnsi="楷体" w:eastAsia="楷体" w:cs="楷体"/>
        </w:rPr>
        <w:t>三、服务要求响应表</w:t>
      </w:r>
      <w:bookmarkEnd w:id="97"/>
      <w:bookmarkEnd w:id="98"/>
      <w:bookmarkEnd w:id="99"/>
      <w:bookmarkEnd w:id="100"/>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39"/>
        <w:numPr>
          <w:ilvl w:val="0"/>
          <w:numId w:val="0"/>
        </w:numPr>
        <w:jc w:val="center"/>
        <w:rPr>
          <w:rFonts w:hint="eastAsia" w:ascii="楷体" w:hAnsi="楷体" w:eastAsia="楷体" w:cs="楷体"/>
        </w:rPr>
      </w:pPr>
      <w:bookmarkStart w:id="105" w:name="_Toc27516"/>
      <w:bookmarkStart w:id="106" w:name="_Toc15328"/>
      <w:r>
        <w:rPr>
          <w:rFonts w:hint="eastAsia" w:ascii="楷体" w:hAnsi="楷体" w:eastAsia="楷体" w:cs="楷体"/>
        </w:rPr>
        <w:t>四、服务方案</w:t>
      </w:r>
      <w:bookmarkEnd w:id="105"/>
      <w:bookmarkEnd w:id="106"/>
    </w:p>
    <w:p>
      <w:pPr>
        <w:jc w:val="center"/>
        <w:rPr>
          <w:rFonts w:hint="eastAsia" w:ascii="楷体" w:hAnsi="楷体" w:eastAsia="楷体" w:cs="楷体"/>
          <w:b/>
          <w:sz w:val="24"/>
        </w:rPr>
      </w:pPr>
      <w:r>
        <w:rPr>
          <w:rFonts w:hint="eastAsia" w:ascii="楷体" w:hAnsi="楷体" w:eastAsia="楷体" w:cs="楷体"/>
          <w:b/>
          <w:sz w:val="24"/>
        </w:rPr>
        <w:t>（格式自定）</w:t>
      </w:r>
    </w:p>
    <w:bookmarkEnd w:id="101"/>
    <w:bookmarkEnd w:id="102"/>
    <w:bookmarkEnd w:id="103"/>
    <w:bookmarkEnd w:id="104"/>
    <w:p>
      <w:pPr>
        <w:pStyle w:val="39"/>
        <w:numPr>
          <w:ilvl w:val="0"/>
          <w:numId w:val="0"/>
        </w:numPr>
        <w:jc w:val="center"/>
        <w:rPr>
          <w:rFonts w:hint="eastAsia" w:ascii="楷体" w:hAnsi="楷体" w:eastAsia="楷体" w:cs="楷体"/>
        </w:rPr>
      </w:pPr>
      <w:bookmarkStart w:id="107" w:name="_Toc25230"/>
      <w:bookmarkStart w:id="108" w:name="_Toc32325"/>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bookmarkEnd w:id="107"/>
    <w:bookmarkEnd w:id="108"/>
    <w:p>
      <w:pPr>
        <w:pStyle w:val="39"/>
        <w:numPr>
          <w:ilvl w:val="0"/>
          <w:numId w:val="0"/>
        </w:numPr>
        <w:jc w:val="center"/>
        <w:rPr>
          <w:rFonts w:hint="eastAsia" w:ascii="楷体" w:hAnsi="楷体" w:eastAsia="楷体" w:cs="楷体"/>
        </w:rPr>
      </w:pPr>
      <w:bookmarkStart w:id="109" w:name="_Toc407"/>
      <w:bookmarkStart w:id="110" w:name="_Toc25699"/>
      <w:bookmarkStart w:id="111" w:name="_Toc26771"/>
      <w:bookmarkStart w:id="112" w:name="_Toc5890"/>
      <w:r>
        <w:rPr>
          <w:rFonts w:hint="eastAsia" w:ascii="楷体" w:hAnsi="楷体" w:eastAsia="楷体" w:cs="楷体"/>
        </w:rPr>
        <w:t>五、企业资质</w:t>
      </w:r>
      <w:bookmarkEnd w:id="109"/>
      <w:bookmarkEnd w:id="110"/>
      <w:bookmarkEnd w:id="111"/>
      <w:bookmarkEnd w:id="112"/>
    </w:p>
    <w:p>
      <w:pPr>
        <w:jc w:val="center"/>
        <w:rPr>
          <w:rFonts w:ascii="仿宋" w:hAnsi="仿宋" w:eastAsia="仿宋" w:cs="宋体"/>
          <w:b/>
          <w:color w:val="000000"/>
          <w:kern w:val="0"/>
          <w:sz w:val="24"/>
          <w:szCs w:val="24"/>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rPr>
          <w:rFonts w:hint="eastAsia"/>
        </w:rPr>
      </w:pPr>
    </w:p>
    <w:p>
      <w:pPr>
        <w:pStyle w:val="39"/>
        <w:numPr>
          <w:ilvl w:val="0"/>
          <w:numId w:val="0"/>
        </w:numPr>
        <w:rPr>
          <w:rFonts w:hint="eastAsia" w:ascii="楷体" w:hAnsi="楷体" w:eastAsia="楷体" w:cs="楷体"/>
        </w:rPr>
      </w:pPr>
    </w:p>
    <w:p>
      <w:pPr>
        <w:pStyle w:val="39"/>
        <w:numPr>
          <w:ilvl w:val="0"/>
          <w:numId w:val="0"/>
        </w:numPr>
        <w:jc w:val="center"/>
        <w:rPr>
          <w:rFonts w:hint="eastAsia" w:ascii="楷体" w:hAnsi="楷体" w:eastAsia="楷体" w:cs="楷体"/>
          <w:b/>
          <w:bCs/>
          <w:lang w:val="en-US" w:eastAsia="zh-CN"/>
        </w:rPr>
      </w:pPr>
      <w:bookmarkStart w:id="113" w:name="_Toc32418"/>
      <w:bookmarkStart w:id="114" w:name="_Toc20453"/>
      <w:r>
        <w:rPr>
          <w:rFonts w:hint="eastAsia" w:ascii="楷体" w:hAnsi="楷体" w:eastAsia="楷体" w:cs="楷体"/>
          <w:b/>
          <w:bCs/>
          <w:lang w:val="en-US" w:eastAsia="zh-CN"/>
        </w:rPr>
        <w:t>六、合同条款及格式</w:t>
      </w:r>
      <w:bookmarkEnd w:id="113"/>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bookmarkStart w:id="115" w:name="purchase_name"/>
      <w:bookmarkEnd w:id="115"/>
      <w:r>
        <w:rPr>
          <w:rFonts w:hint="eastAsia" w:ascii="楷体" w:hAnsi="楷体" w:eastAsia="楷体" w:cs="楷体"/>
          <w:sz w:val="24"/>
          <w:szCs w:val="24"/>
        </w:rPr>
        <w:t>南京交通职业技术学院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乙方: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甲乙双方根据</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年</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日（采购编号：</w:t>
      </w:r>
      <w:r>
        <w:rPr>
          <w:rFonts w:hint="eastAsia" w:ascii="楷体" w:hAnsi="楷体" w:eastAsia="楷体" w:cs="楷体"/>
          <w:sz w:val="24"/>
          <w:szCs w:val="24"/>
          <w:lang w:eastAsia="zh-CN"/>
        </w:rPr>
        <w:t>JY2021055</w:t>
      </w: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2021年零星项目咨询服务采购</w:t>
      </w:r>
      <w:r>
        <w:rPr>
          <w:rFonts w:hint="eastAsia" w:ascii="楷体" w:hAnsi="楷体" w:eastAsia="楷体" w:cs="楷体"/>
          <w:sz w:val="24"/>
          <w:szCs w:val="24"/>
          <w:lang w:eastAsia="zh-CN"/>
        </w:rPr>
        <w:t>项目</w:t>
      </w:r>
      <w:r>
        <w:rPr>
          <w:rFonts w:hint="eastAsia" w:ascii="楷体" w:hAnsi="楷体" w:eastAsia="楷体" w:cs="楷体"/>
          <w:sz w:val="24"/>
          <w:szCs w:val="24"/>
        </w:rPr>
        <w:t>采购结果及磋商文件的要求,经协商一致,达成如下购销合同: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黑体" w:hAnsi="黑体" w:eastAsia="黑体" w:cs="黑体"/>
          <w:b/>
          <w:bCs/>
          <w:sz w:val="24"/>
          <w:lang w:eastAsia="zh-CN"/>
        </w:rPr>
      </w:pPr>
      <w:r>
        <w:rPr>
          <w:rFonts w:hint="eastAsia" w:ascii="黑体" w:hAnsi="黑体" w:eastAsia="黑体" w:cs="黑体"/>
          <w:sz w:val="24"/>
        </w:rPr>
        <w:t>一、</w:t>
      </w:r>
      <w:r>
        <w:rPr>
          <w:rFonts w:hint="eastAsia" w:ascii="黑体" w:hAnsi="黑体" w:eastAsia="黑体" w:cs="黑体"/>
          <w:b/>
          <w:bCs/>
          <w:sz w:val="24"/>
        </w:rPr>
        <w:t>采购标的</w:t>
      </w:r>
      <w:r>
        <w:rPr>
          <w:rFonts w:hint="eastAsia" w:ascii="黑体" w:hAnsi="黑体" w:eastAsia="黑体" w:cs="黑体"/>
          <w:b/>
          <w:bCs/>
          <w:sz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1、项目名称：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rPr>
      </w:pPr>
      <w:r>
        <w:rPr>
          <w:rFonts w:hint="eastAsia" w:ascii="楷体" w:hAnsi="楷体" w:eastAsia="楷体" w:cs="楷体"/>
          <w:sz w:val="24"/>
          <w:szCs w:val="24"/>
        </w:rPr>
        <w:t>2、服务内容：参照磋商文件的具体要求</w:t>
      </w:r>
      <w:r>
        <w:rPr>
          <w:rFonts w:hint="eastAsia" w:ascii="仿宋" w:hAnsi="仿宋" w:eastAsia="仿宋" w:cs="仿宋"/>
          <w:sz w:val="24"/>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highlight w:val="yellow"/>
        </w:rPr>
      </w:pPr>
      <w:r>
        <w:rPr>
          <w:rFonts w:hint="eastAsia" w:ascii="黑体" w:hAnsi="黑体" w:eastAsia="黑体" w:cs="黑体"/>
          <w:b/>
          <w:bCs/>
          <w:sz w:val="24"/>
        </w:rPr>
        <w:t>二、服务期限：</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服务价格：</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合同履行：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五、履约保证金：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1、乙方在签订本合同时其投标保证金自动转为履约保证金。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2、履约保证金的有效期为该项目免费维护期满时止。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3、如乙方未能履行合同规定的义务，甲方有权从履约保证金中取得补偿。</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4、履约保证金扣除甲方应得的补偿后的余额在有效期满后七个工作日内无息退还给乙方</w:t>
      </w:r>
      <w:r>
        <w:rPr>
          <w:rFonts w:hint="eastAsia" w:ascii="楷体" w:hAnsi="楷体" w:eastAsia="楷体" w:cs="楷体"/>
          <w:sz w:val="24"/>
          <w:szCs w:val="24"/>
          <w:lang w:eastAsia="zh-CN"/>
        </w:rPr>
        <w:t>。</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bCs/>
          <w:sz w:val="24"/>
        </w:rPr>
        <w:t>六、付款</w:t>
      </w:r>
      <w:r>
        <w:rPr>
          <w:rFonts w:hint="eastAsia" w:ascii="黑体" w:hAnsi="黑体" w:eastAsia="黑体" w:cs="黑体"/>
          <w:sz w:val="24"/>
        </w:rPr>
        <w:t>：</w:t>
      </w:r>
      <w:r>
        <w:rPr>
          <w:rFonts w:ascii="仿宋" w:hAnsi="仿宋" w:eastAsia="仿宋" w:cs="仿宋"/>
          <w:sz w:val="24"/>
        </w:rPr>
        <w:t xml:space="preserve">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具体如下：</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1、经甲方验收合格并签署维修保养记录后，由乙方开具发票向甲方进行请款，甲方核对无误将年保养费用总额的25%，即人民币</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元付至乙方指定帐户；</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移机费及更换材料费由乙方向甲方提出结算申请。乙方提供经甲方使用部门确认的移机清单、更换材料费用清单及其他原始单据凭证，甲方按照实际发生数量核算无误后给乙方结算。乙方开具相关发票后，甲方按时付款。</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七、违约责任</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1、甲方未按合同规定的期限向乙方支付合同款的，每逾期1天甲方向乙方偿付欠款总额的5‰滞纳金，但累计滞纳金总额不超过欠款总额的5％。</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2、如乙方不能按照规定要求完成服务，甲方有权暂扣合同款直至完成服务；同时乙方应向甲方支付合同总价5％的违约金。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3、乙方所提供的服务不符合合同规定的，甲方有权拒付合同款。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4、乙方虚假承诺，或经权威部门监测不能满足文件要求，或是</w:t>
      </w:r>
      <w:bookmarkStart w:id="144" w:name="_GoBack"/>
      <w:bookmarkEnd w:id="144"/>
      <w:r>
        <w:rPr>
          <w:rFonts w:hint="eastAsia" w:ascii="楷体" w:hAnsi="楷体" w:eastAsia="楷体" w:cs="楷体"/>
          <w:sz w:val="24"/>
          <w:szCs w:val="24"/>
        </w:rPr>
        <w:t>由于乙方的过错造成合同无法继续履行的，除扣除未完成的服务合同款外，还应向甲方支付不少于合同总价30％赔偿金。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黑体" w:hAnsi="黑体" w:eastAsia="黑体" w:cs="黑体"/>
          <w:b/>
          <w:sz w:val="24"/>
          <w:lang w:val="zh-CN"/>
        </w:rPr>
        <w:t>八、合同纠纷处理：</w:t>
      </w:r>
      <w:r>
        <w:rPr>
          <w:rFonts w:hint="eastAsia" w:ascii="楷体" w:hAnsi="楷体" w:eastAsia="楷体" w:cs="楷体"/>
          <w:sz w:val="24"/>
          <w:szCs w:val="24"/>
        </w:rPr>
        <w:t>本合同执行过程中发生纠纷，由甲乙双方协商解决，若协商不成，作如下</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处理：</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1、申请仲裁。选定仲裁机构为江苏省仲裁委员会。</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2、提起诉讼。约定由甲方所在地江苏省人民法院管辖。</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sz w:val="24"/>
          <w:lang w:val="zh-CN"/>
        </w:rPr>
        <w:t>九、合同生效：</w:t>
      </w:r>
      <w:r>
        <w:rPr>
          <w:rFonts w:hint="eastAsia" w:ascii="楷体" w:hAnsi="楷体" w:eastAsia="楷体" w:cs="楷体"/>
          <w:sz w:val="24"/>
          <w:szCs w:val="24"/>
        </w:rPr>
        <w:t>本合同由甲乙双方签字盖章后生效。</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十、合同鉴证：</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十一、组成本合同的文件包括：</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（一）合同通用条款及补充条款；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（二）磋商文件和乙方的响应文件；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（三）中标通知书；</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（四）甲乙双方商定的其他必要文件。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上述合同文件内容互为补充，如有不明确，由甲方负责解释。</w:t>
      </w:r>
    </w:p>
    <w:p>
      <w:pPr>
        <w:keepNext w:val="0"/>
        <w:keepLines w:val="0"/>
        <w:pageBreakBefore w:val="0"/>
        <w:numPr>
          <w:ilvl w:val="0"/>
          <w:numId w:val="5"/>
        </w:numPr>
        <w:kinsoku/>
        <w:wordWrap/>
        <w:overflowPunct/>
        <w:topLinePunct w:val="0"/>
        <w:autoSpaceDE/>
        <w:autoSpaceDN/>
        <w:bidi w:val="0"/>
        <w:adjustRightInd/>
        <w:spacing w:line="240" w:lineRule="auto"/>
        <w:textAlignment w:val="auto"/>
        <w:rPr>
          <w:rFonts w:hint="eastAsia" w:ascii="黑体" w:hAnsi="黑体" w:eastAsia="黑体" w:cs="黑体"/>
          <w:b/>
          <w:sz w:val="24"/>
          <w:lang w:val="zh-CN"/>
        </w:rPr>
      </w:pPr>
      <w:r>
        <w:rPr>
          <w:rFonts w:hint="eastAsia" w:ascii="黑体" w:hAnsi="黑体" w:eastAsia="黑体" w:cs="黑体"/>
          <w:b/>
          <w:sz w:val="24"/>
          <w:lang w:val="zh-CN"/>
        </w:rPr>
        <w:t>合同备案：</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本合同一式</w:t>
      </w:r>
      <w:r>
        <w:rPr>
          <w:rFonts w:hint="eastAsia" w:ascii="楷体" w:hAnsi="楷体" w:eastAsia="楷体" w:cs="楷体"/>
          <w:sz w:val="24"/>
          <w:szCs w:val="24"/>
          <w:lang w:val="en-US" w:eastAsia="zh-CN"/>
        </w:rPr>
        <w:t>四</w:t>
      </w:r>
      <w:r>
        <w:rPr>
          <w:rFonts w:hint="eastAsia" w:ascii="楷体" w:hAnsi="楷体" w:eastAsia="楷体" w:cs="楷体"/>
          <w:sz w:val="24"/>
          <w:szCs w:val="24"/>
        </w:rPr>
        <w:t>份，中文书写。甲乙方各执</w:t>
      </w:r>
      <w:r>
        <w:rPr>
          <w:rFonts w:hint="eastAsia" w:ascii="楷体" w:hAnsi="楷体" w:eastAsia="楷体" w:cs="楷体"/>
          <w:sz w:val="24"/>
          <w:szCs w:val="24"/>
          <w:lang w:val="en-US" w:eastAsia="zh-CN"/>
        </w:rPr>
        <w:t>两</w:t>
      </w:r>
      <w:r>
        <w:rPr>
          <w:rFonts w:hint="eastAsia" w:ascii="楷体" w:hAnsi="楷体" w:eastAsia="楷体" w:cs="楷体"/>
          <w:sz w:val="24"/>
          <w:szCs w:val="24"/>
        </w:rPr>
        <w:t>份</w:t>
      </w:r>
      <w:r>
        <w:rPr>
          <w:rFonts w:hint="eastAsia" w:ascii="楷体" w:hAnsi="楷体" w:eastAsia="楷体" w:cs="楷体"/>
          <w:sz w:val="24"/>
          <w:szCs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乙方：</w:t>
      </w:r>
      <w:bookmarkStart w:id="116" w:name="suppliers_name_one"/>
      <w:bookmarkEnd w:id="116"/>
      <w:r>
        <w:rPr>
          <w:rFonts w:hint="eastAsia" w:ascii="楷体" w:hAnsi="楷体" w:eastAsia="楷体" w:cs="楷体"/>
          <w:sz w:val="24"/>
          <w:szCs w:val="24"/>
        </w:rPr>
        <w:t>（盖章）</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户名：</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开户银行：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账号：</w:t>
      </w:r>
    </w:p>
    <w:p>
      <w:pPr>
        <w:pStyle w:val="39"/>
        <w:numPr>
          <w:ilvl w:val="0"/>
          <w:numId w:val="0"/>
        </w:numPr>
        <w:ind w:leftChars="0"/>
        <w:rPr>
          <w:rFonts w:hint="eastAsia" w:ascii="楷体" w:hAnsi="楷体" w:eastAsia="楷体" w:cs="楷体"/>
        </w:rPr>
      </w:pPr>
    </w:p>
    <w:p>
      <w:pPr>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39"/>
        <w:numPr>
          <w:ilvl w:val="0"/>
          <w:numId w:val="0"/>
        </w:numPr>
        <w:jc w:val="center"/>
        <w:rPr>
          <w:rFonts w:hint="eastAsia" w:ascii="楷体" w:hAnsi="楷体" w:eastAsia="楷体" w:cs="楷体"/>
          <w:b/>
          <w:bCs/>
        </w:rPr>
      </w:pPr>
      <w:bookmarkStart w:id="117" w:name="_Toc30495"/>
      <w:r>
        <w:rPr>
          <w:rFonts w:hint="eastAsia" w:ascii="楷体" w:hAnsi="楷体" w:eastAsia="楷体" w:cs="楷体"/>
          <w:b/>
          <w:bCs/>
          <w:lang w:val="en-US" w:eastAsia="zh-CN"/>
        </w:rPr>
        <w:t>七、</w:t>
      </w:r>
      <w:r>
        <w:rPr>
          <w:rFonts w:hint="eastAsia" w:ascii="楷体" w:hAnsi="楷体" w:eastAsia="楷体" w:cs="楷体"/>
          <w:b/>
          <w:bCs/>
        </w:rPr>
        <w:t>相关附表格式</w:t>
      </w:r>
      <w:bookmarkEnd w:id="93"/>
      <w:bookmarkEnd w:id="94"/>
      <w:bookmarkEnd w:id="95"/>
      <w:bookmarkEnd w:id="114"/>
      <w:bookmarkEnd w:id="117"/>
      <w:bookmarkStart w:id="118" w:name="_Toc30587"/>
    </w:p>
    <w:p>
      <w:pPr>
        <w:pStyle w:val="39"/>
        <w:numPr>
          <w:ilvl w:val="0"/>
          <w:numId w:val="0"/>
        </w:numPr>
        <w:rPr>
          <w:rFonts w:hint="eastAsia" w:ascii="楷体" w:hAnsi="楷体" w:eastAsia="楷体" w:cs="楷体"/>
        </w:rPr>
      </w:pPr>
      <w:bookmarkStart w:id="119" w:name="_Toc13019"/>
      <w:bookmarkStart w:id="120" w:name="_Toc28944"/>
      <w:bookmarkStart w:id="121" w:name="_Toc28734"/>
      <w:r>
        <w:rPr>
          <w:rFonts w:hint="eastAsia" w:ascii="楷体" w:hAnsi="楷体" w:eastAsia="楷体" w:cs="楷体"/>
        </w:rPr>
        <w:t>附 件1：法人授权委托书</w:t>
      </w:r>
      <w:bookmarkEnd w:id="118"/>
      <w:bookmarkEnd w:id="119"/>
      <w:bookmarkEnd w:id="120"/>
      <w:bookmarkEnd w:id="121"/>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JY2021055</w:t>
      </w:r>
      <w:r>
        <w:rPr>
          <w:rFonts w:hint="eastAsia" w:ascii="楷体" w:hAnsi="楷体" w:eastAsia="楷体" w:cs="楷体"/>
          <w:sz w:val="24"/>
          <w:szCs w:val="24"/>
        </w:rPr>
        <w:t xml:space="preserve">）南京交通职业技术学院 </w:t>
      </w:r>
      <w:r>
        <w:rPr>
          <w:rFonts w:hint="eastAsia" w:ascii="楷体" w:hAnsi="楷体" w:eastAsia="楷体" w:cs="楷体"/>
          <w:b/>
          <w:bCs/>
          <w:sz w:val="24"/>
          <w:szCs w:val="24"/>
          <w:lang w:eastAsia="zh-CN"/>
        </w:rPr>
        <w:t>2021年零星项目咨询服务采购项目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2020年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39"/>
        <w:numPr>
          <w:ilvl w:val="0"/>
          <w:numId w:val="0"/>
        </w:numPr>
        <w:jc w:val="center"/>
        <w:rPr>
          <w:rFonts w:hint="eastAsia" w:ascii="楷体" w:hAnsi="楷体" w:eastAsia="楷体" w:cs="楷体"/>
        </w:rPr>
      </w:pPr>
      <w:bookmarkStart w:id="122" w:name="_Toc30644"/>
      <w:r>
        <w:rPr>
          <w:rFonts w:hint="eastAsia" w:ascii="楷体" w:hAnsi="楷体" w:eastAsia="楷体" w:cs="楷体"/>
          <w:b w:val="0"/>
          <w:bCs w:val="0"/>
        </w:rPr>
        <w:br w:type="page"/>
      </w:r>
      <w:bookmarkEnd w:id="122"/>
      <w:bookmarkStart w:id="123" w:name="_Toc27307"/>
      <w:bookmarkStart w:id="124" w:name="_Toc9284"/>
      <w:bookmarkStart w:id="125" w:name="_Toc9521"/>
      <w:bookmarkStart w:id="126" w:name="_Toc2252"/>
      <w:bookmarkStart w:id="127"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23"/>
      <w:bookmarkEnd w:id="124"/>
      <w:bookmarkEnd w:id="125"/>
      <w:bookmarkEnd w:id="126"/>
    </w:p>
    <w:bookmarkEnd w:id="127"/>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39"/>
        <w:numPr>
          <w:ilvl w:val="0"/>
          <w:numId w:val="0"/>
        </w:numPr>
        <w:jc w:val="center"/>
        <w:rPr>
          <w:rFonts w:hint="eastAsia" w:ascii="楷体" w:hAnsi="楷体" w:eastAsia="楷体" w:cs="楷体"/>
        </w:rPr>
      </w:pPr>
      <w:r>
        <w:rPr>
          <w:rFonts w:hint="eastAsia" w:ascii="楷体" w:hAnsi="楷体" w:eastAsia="楷体" w:cs="楷体"/>
        </w:rPr>
        <w:br w:type="page"/>
      </w:r>
      <w:bookmarkStart w:id="128" w:name="_Toc190"/>
      <w:bookmarkStart w:id="129" w:name="_Toc18188"/>
      <w:bookmarkStart w:id="130" w:name="_Toc8873"/>
      <w:bookmarkStart w:id="131" w:name="_Toc26453"/>
      <w:bookmarkStart w:id="132" w:name="_Toc28753"/>
      <w:bookmarkStart w:id="133" w:name="_Toc30482"/>
      <w:bookmarkStart w:id="134" w:name="_Toc10944"/>
      <w:r>
        <w:rPr>
          <w:rFonts w:hint="eastAsia" w:ascii="楷体" w:hAnsi="楷体" w:eastAsia="楷体" w:cs="楷体"/>
        </w:rPr>
        <w:t>附 件</w:t>
      </w:r>
      <w:bookmarkEnd w:id="128"/>
      <w:bookmarkEnd w:id="129"/>
      <w:r>
        <w:rPr>
          <w:rFonts w:hint="eastAsia" w:ascii="楷体" w:hAnsi="楷体" w:eastAsia="楷体" w:cs="楷体"/>
          <w:lang w:val="en-US" w:eastAsia="zh-CN"/>
        </w:rPr>
        <w:t>3</w:t>
      </w:r>
      <w:r>
        <w:rPr>
          <w:rFonts w:hint="eastAsia" w:ascii="楷体" w:hAnsi="楷体" w:eastAsia="楷体" w:cs="楷体"/>
        </w:rPr>
        <w:t>：三年内无重大违纪声明</w:t>
      </w:r>
      <w:bookmarkEnd w:id="130"/>
      <w:bookmarkEnd w:id="131"/>
      <w:bookmarkEnd w:id="132"/>
      <w:bookmarkEnd w:id="133"/>
      <w:bookmarkEnd w:id="134"/>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39"/>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35" w:name="_Toc4338"/>
      <w:bookmarkStart w:id="136" w:name="_Toc12129"/>
      <w:bookmarkStart w:id="137" w:name="_Toc16683"/>
      <w:bookmarkStart w:id="138" w:name="_Toc26218"/>
      <w:bookmarkStart w:id="139"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35"/>
      <w:bookmarkEnd w:id="136"/>
      <w:bookmarkEnd w:id="137"/>
      <w:bookmarkEnd w:id="138"/>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9"/>
      <w:bookmarkStart w:id="140" w:name="_Toc11048"/>
      <w:bookmarkStart w:id="141" w:name="_Toc30780"/>
      <w:bookmarkStart w:id="142" w:name="_Toc10887"/>
      <w:bookmarkStart w:id="143" w:name="_Toc31660"/>
    </w:p>
    <w:bookmarkEnd w:id="140"/>
    <w:bookmarkEnd w:id="141"/>
    <w:bookmarkEnd w:id="142"/>
    <w:bookmarkEnd w:id="143"/>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sectPr>
      <w:headerReference r:id="rId9" w:type="default"/>
      <w:footerReference r:id="rId10"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0000000000000000000"/>
    <w:charset w:val="86"/>
    <w:family w:val="modern"/>
    <w:pitch w:val="default"/>
    <w:sig w:usb0="00000000" w:usb1="0000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方正仿宋_GBK"/>
    <w:panose1 w:val="02000000000000000000"/>
    <w:charset w:val="86"/>
    <w:family w:val="script"/>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rPr>
      <w:t>JY2020xxx</w:t>
    </w:r>
    <w:r>
      <w:t xml:space="preserve">   </w:t>
    </w:r>
    <w:r>
      <w:rPr>
        <w:rFonts w:hint="eastAsia"/>
      </w:rPr>
      <w:t xml:space="preserve">  </w:t>
    </w:r>
    <w:r>
      <w:t xml:space="preserve">                                 </w:t>
    </w:r>
    <w:r>
      <w:rPr>
        <w:rFonts w:hint="eastAsia"/>
      </w:rPr>
      <w:t xml:space="preserve">                        </w:t>
    </w:r>
    <w:r>
      <w:rPr>
        <w:rFonts w:hint="eastAsia" w:ascii="楷体" w:hAnsi="楷体" w:eastAsia="楷体"/>
      </w:rPr>
      <w:t>南京交通职业技术学院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JY2021055</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2A000"/>
    <w:multiLevelType w:val="singleLevel"/>
    <w:tmpl w:val="CAC2A000"/>
    <w:lvl w:ilvl="0" w:tentative="0">
      <w:start w:val="1"/>
      <w:numFmt w:val="decimal"/>
      <w:suff w:val="nothing"/>
      <w:lvlText w:val="%1、"/>
      <w:lvlJc w:val="left"/>
    </w:lvl>
  </w:abstractNum>
  <w:abstractNum w:abstractNumId="1">
    <w:nsid w:val="00000011"/>
    <w:multiLevelType w:val="multilevel"/>
    <w:tmpl w:val="00000011"/>
    <w:lvl w:ilvl="0" w:tentative="0">
      <w:start w:val="1"/>
      <w:numFmt w:val="japaneseCounting"/>
      <w:pStyle w:val="39"/>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8B28F79"/>
    <w:multiLevelType w:val="singleLevel"/>
    <w:tmpl w:val="28B28F79"/>
    <w:lvl w:ilvl="0" w:tentative="0">
      <w:start w:val="12"/>
      <w:numFmt w:val="chineseCounting"/>
      <w:suff w:val="nothing"/>
      <w:lvlText w:val="%1、"/>
      <w:lvlJc w:val="left"/>
      <w:rPr>
        <w:rFonts w:hint="eastAsia"/>
      </w:rPr>
    </w:lvl>
  </w:abstractNum>
  <w:abstractNum w:abstractNumId="3">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4">
    <w:nsid w:val="7FEB9ABA"/>
    <w:multiLevelType w:val="singleLevel"/>
    <w:tmpl w:val="7FEB9ABA"/>
    <w:lvl w:ilvl="0" w:tentative="0">
      <w:start w:val="3"/>
      <w:numFmt w:val="chineseCounting"/>
      <w:suff w:val="nothing"/>
      <w:lvlText w:val="%1、"/>
      <w:lvlJc w:val="left"/>
      <w:rPr>
        <w:rFonts w:hint="eastAsia" w:cs="Times New Roman"/>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BA48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575897"/>
    <w:rsid w:val="0A772C29"/>
    <w:rsid w:val="0A782E73"/>
    <w:rsid w:val="0A8D6879"/>
    <w:rsid w:val="0A98335E"/>
    <w:rsid w:val="0ACE5E48"/>
    <w:rsid w:val="0ADC052F"/>
    <w:rsid w:val="0B010F41"/>
    <w:rsid w:val="0B260C38"/>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7225DE"/>
    <w:rsid w:val="12771EF0"/>
    <w:rsid w:val="12864374"/>
    <w:rsid w:val="12920AD9"/>
    <w:rsid w:val="12934340"/>
    <w:rsid w:val="12C27712"/>
    <w:rsid w:val="12EE267C"/>
    <w:rsid w:val="13036894"/>
    <w:rsid w:val="130724D5"/>
    <w:rsid w:val="130779C3"/>
    <w:rsid w:val="134A1183"/>
    <w:rsid w:val="134A5358"/>
    <w:rsid w:val="135A34E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D93AD4"/>
    <w:rsid w:val="14E238D5"/>
    <w:rsid w:val="15123C1C"/>
    <w:rsid w:val="152612F9"/>
    <w:rsid w:val="152F0D51"/>
    <w:rsid w:val="15397AC9"/>
    <w:rsid w:val="158669AB"/>
    <w:rsid w:val="15981FB4"/>
    <w:rsid w:val="15A0619E"/>
    <w:rsid w:val="15D70E84"/>
    <w:rsid w:val="15F170FF"/>
    <w:rsid w:val="161556B7"/>
    <w:rsid w:val="16222214"/>
    <w:rsid w:val="16225D81"/>
    <w:rsid w:val="164173EC"/>
    <w:rsid w:val="1649695B"/>
    <w:rsid w:val="16715406"/>
    <w:rsid w:val="167C2417"/>
    <w:rsid w:val="1687716E"/>
    <w:rsid w:val="169B3BE0"/>
    <w:rsid w:val="16B52472"/>
    <w:rsid w:val="16C23B99"/>
    <w:rsid w:val="16E04D7B"/>
    <w:rsid w:val="16E64F85"/>
    <w:rsid w:val="17111ED0"/>
    <w:rsid w:val="17733041"/>
    <w:rsid w:val="17BA74F5"/>
    <w:rsid w:val="17BF3781"/>
    <w:rsid w:val="183A0A39"/>
    <w:rsid w:val="18617367"/>
    <w:rsid w:val="18731802"/>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200F36A4"/>
    <w:rsid w:val="20291923"/>
    <w:rsid w:val="20512740"/>
    <w:rsid w:val="20697697"/>
    <w:rsid w:val="208F3BD4"/>
    <w:rsid w:val="20975C93"/>
    <w:rsid w:val="209D75E5"/>
    <w:rsid w:val="21007685"/>
    <w:rsid w:val="210C1950"/>
    <w:rsid w:val="210F56C6"/>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739E0"/>
    <w:rsid w:val="30C77F04"/>
    <w:rsid w:val="310B0CD4"/>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4091384"/>
    <w:rsid w:val="341D19AD"/>
    <w:rsid w:val="342C3501"/>
    <w:rsid w:val="348F7295"/>
    <w:rsid w:val="349178C2"/>
    <w:rsid w:val="34A8071E"/>
    <w:rsid w:val="34B81ADB"/>
    <w:rsid w:val="34FB6DF1"/>
    <w:rsid w:val="35321868"/>
    <w:rsid w:val="35423643"/>
    <w:rsid w:val="354939FA"/>
    <w:rsid w:val="354D3B73"/>
    <w:rsid w:val="3553498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F13B2C"/>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4B4A38"/>
    <w:rsid w:val="3D605EA2"/>
    <w:rsid w:val="3D7B3547"/>
    <w:rsid w:val="3D870315"/>
    <w:rsid w:val="3DE34B09"/>
    <w:rsid w:val="3DEE6DD6"/>
    <w:rsid w:val="3E0A6D87"/>
    <w:rsid w:val="3E8D1BE2"/>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5A20CD"/>
    <w:rsid w:val="41600FB8"/>
    <w:rsid w:val="417E0BD2"/>
    <w:rsid w:val="418F19FE"/>
    <w:rsid w:val="423A080D"/>
    <w:rsid w:val="42414910"/>
    <w:rsid w:val="42587ACD"/>
    <w:rsid w:val="42767EE7"/>
    <w:rsid w:val="428555BA"/>
    <w:rsid w:val="428E221D"/>
    <w:rsid w:val="42EE6E6B"/>
    <w:rsid w:val="42FC0E1E"/>
    <w:rsid w:val="4305028C"/>
    <w:rsid w:val="43D1232D"/>
    <w:rsid w:val="43DB50BA"/>
    <w:rsid w:val="43E37FB6"/>
    <w:rsid w:val="44086895"/>
    <w:rsid w:val="44215CEC"/>
    <w:rsid w:val="442A5031"/>
    <w:rsid w:val="44D22523"/>
    <w:rsid w:val="44EF63E4"/>
    <w:rsid w:val="45013E51"/>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A044CC1"/>
    <w:rsid w:val="4A11062E"/>
    <w:rsid w:val="4A42284D"/>
    <w:rsid w:val="4A5425E2"/>
    <w:rsid w:val="4A8D09C1"/>
    <w:rsid w:val="4AD80EDA"/>
    <w:rsid w:val="4AEE26A5"/>
    <w:rsid w:val="4B5F1790"/>
    <w:rsid w:val="4BAB1564"/>
    <w:rsid w:val="4BEB36BB"/>
    <w:rsid w:val="4C047BFF"/>
    <w:rsid w:val="4C12349F"/>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D73146"/>
    <w:rsid w:val="5DEA6684"/>
    <w:rsid w:val="5E115B8C"/>
    <w:rsid w:val="5E19141B"/>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684F0A"/>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DF45D87"/>
    <w:rsid w:val="6E0C2EF3"/>
    <w:rsid w:val="6E482A95"/>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E87A2C"/>
    <w:rsid w:val="710544FF"/>
    <w:rsid w:val="7144737C"/>
    <w:rsid w:val="714474D0"/>
    <w:rsid w:val="715528A5"/>
    <w:rsid w:val="715A5764"/>
    <w:rsid w:val="71665980"/>
    <w:rsid w:val="71A16AB0"/>
    <w:rsid w:val="71C31F17"/>
    <w:rsid w:val="71D4661D"/>
    <w:rsid w:val="71EF2F1F"/>
    <w:rsid w:val="72166395"/>
    <w:rsid w:val="72177D49"/>
    <w:rsid w:val="727257BF"/>
    <w:rsid w:val="72791832"/>
    <w:rsid w:val="72827DFD"/>
    <w:rsid w:val="72B21BF8"/>
    <w:rsid w:val="730A4217"/>
    <w:rsid w:val="731163CA"/>
    <w:rsid w:val="731435D2"/>
    <w:rsid w:val="73405ED0"/>
    <w:rsid w:val="734E5907"/>
    <w:rsid w:val="73877F1B"/>
    <w:rsid w:val="73894E82"/>
    <w:rsid w:val="73AC308A"/>
    <w:rsid w:val="73C42C54"/>
    <w:rsid w:val="73E57523"/>
    <w:rsid w:val="73F91465"/>
    <w:rsid w:val="740106D7"/>
    <w:rsid w:val="74064FAA"/>
    <w:rsid w:val="747A7A4A"/>
    <w:rsid w:val="74933BA3"/>
    <w:rsid w:val="74A40E13"/>
    <w:rsid w:val="74AF71C8"/>
    <w:rsid w:val="74DA5652"/>
    <w:rsid w:val="75122FF7"/>
    <w:rsid w:val="754823FD"/>
    <w:rsid w:val="755D2FC3"/>
    <w:rsid w:val="757B55C9"/>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7732ED"/>
    <w:rsid w:val="799814FD"/>
    <w:rsid w:val="79AB6D38"/>
    <w:rsid w:val="79AC16B7"/>
    <w:rsid w:val="79AF441F"/>
    <w:rsid w:val="79D22AD2"/>
    <w:rsid w:val="79FD7A91"/>
    <w:rsid w:val="7A013DD2"/>
    <w:rsid w:val="7A1E1EBE"/>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604FF"/>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7"/>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5"/>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3"/>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1"/>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2"/>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toc 2"/>
    <w:basedOn w:val="1"/>
    <w:next w:val="1"/>
    <w:qFormat/>
    <w:uiPriority w:val="0"/>
    <w:pPr>
      <w:ind w:left="420" w:leftChars="200"/>
    </w:p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1">
    <w:name w:val="annotation subject"/>
    <w:basedOn w:val="9"/>
    <w:next w:val="9"/>
    <w:link w:val="45"/>
    <w:unhideWhenUsed/>
    <w:qFormat/>
    <w:uiPriority w:val="0"/>
    <w:rPr>
      <w:b/>
      <w:bCs/>
    </w:rPr>
  </w:style>
  <w:style w:type="paragraph" w:styleId="22">
    <w:name w:val="Body Text First Indent 2"/>
    <w:basedOn w:val="1"/>
    <w:next w:val="1"/>
    <w:qFormat/>
    <w:uiPriority w:val="99"/>
    <w:pPr>
      <w:ind w:firstLine="420" w:firstLineChars="200"/>
    </w:pPr>
  </w:style>
  <w:style w:type="table" w:styleId="24">
    <w:name w:val="Table Grid"/>
    <w:basedOn w:val="2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bCs/>
    </w:rPr>
  </w:style>
  <w:style w:type="character" w:styleId="27">
    <w:name w:val="page number"/>
    <w:basedOn w:val="25"/>
    <w:qFormat/>
    <w:uiPriority w:val="0"/>
  </w:style>
  <w:style w:type="character" w:styleId="28">
    <w:name w:val="FollowedHyperlink"/>
    <w:basedOn w:val="25"/>
    <w:unhideWhenUsed/>
    <w:qFormat/>
    <w:uiPriority w:val="0"/>
    <w:rPr>
      <w:rFonts w:hint="eastAsia" w:ascii="微软雅黑" w:hAnsi="微软雅黑" w:eastAsia="微软雅黑" w:cs="微软雅黑"/>
      <w:color w:val="02396F"/>
      <w:u w:val="single"/>
    </w:rPr>
  </w:style>
  <w:style w:type="character" w:styleId="29">
    <w:name w:val="Emphasis"/>
    <w:basedOn w:val="25"/>
    <w:qFormat/>
    <w:uiPriority w:val="0"/>
  </w:style>
  <w:style w:type="character" w:styleId="30">
    <w:name w:val="HTML Definition"/>
    <w:basedOn w:val="25"/>
    <w:unhideWhenUsed/>
    <w:qFormat/>
    <w:uiPriority w:val="0"/>
  </w:style>
  <w:style w:type="character" w:styleId="31">
    <w:name w:val="HTML Variable"/>
    <w:basedOn w:val="25"/>
    <w:unhideWhenUsed/>
    <w:qFormat/>
    <w:uiPriority w:val="0"/>
  </w:style>
  <w:style w:type="character" w:styleId="32">
    <w:name w:val="Hyperlink"/>
    <w:basedOn w:val="25"/>
    <w:unhideWhenUsed/>
    <w:qFormat/>
    <w:uiPriority w:val="0"/>
    <w:rPr>
      <w:rFonts w:ascii="微软雅黑" w:hAnsi="微软雅黑" w:eastAsia="微软雅黑" w:cs="微软雅黑"/>
      <w:color w:val="02396F"/>
      <w:u w:val="single"/>
    </w:rPr>
  </w:style>
  <w:style w:type="character" w:styleId="33">
    <w:name w:val="HTML Code"/>
    <w:basedOn w:val="25"/>
    <w:unhideWhenUsed/>
    <w:qFormat/>
    <w:uiPriority w:val="0"/>
    <w:rPr>
      <w:rFonts w:ascii="Courier New" w:hAnsi="Courier New"/>
      <w:sz w:val="20"/>
    </w:rPr>
  </w:style>
  <w:style w:type="character" w:styleId="34">
    <w:name w:val="annotation reference"/>
    <w:unhideWhenUsed/>
    <w:qFormat/>
    <w:uiPriority w:val="0"/>
    <w:rPr>
      <w:sz w:val="21"/>
      <w:szCs w:val="21"/>
    </w:rPr>
  </w:style>
  <w:style w:type="character" w:styleId="35">
    <w:name w:val="HTML Cite"/>
    <w:basedOn w:val="25"/>
    <w:unhideWhenUsed/>
    <w:qFormat/>
    <w:uiPriority w:val="0"/>
  </w:style>
  <w:style w:type="character" w:customStyle="1" w:styleId="36">
    <w:name w:val="placehold"/>
    <w:basedOn w:val="25"/>
    <w:qFormat/>
    <w:uiPriority w:val="0"/>
  </w:style>
  <w:style w:type="character" w:customStyle="1" w:styleId="37">
    <w:name w:val="标题 1 Char"/>
    <w:basedOn w:val="25"/>
    <w:link w:val="4"/>
    <w:qFormat/>
    <w:uiPriority w:val="0"/>
    <w:rPr>
      <w:rFonts w:ascii="楷体_GB2312" w:eastAsia="楷体_GB2312" w:cs="楷体_GB2312"/>
      <w:sz w:val="28"/>
      <w:szCs w:val="28"/>
    </w:rPr>
  </w:style>
  <w:style w:type="character" w:customStyle="1" w:styleId="38">
    <w:name w:val="二级目录 Char"/>
    <w:link w:val="39"/>
    <w:qFormat/>
    <w:uiPriority w:val="99"/>
    <w:rPr>
      <w:rFonts w:ascii="Calibri" w:hAnsi="Calibri"/>
      <w:b/>
      <w:bCs/>
      <w:kern w:val="2"/>
      <w:sz w:val="28"/>
      <w:szCs w:val="28"/>
      <w:lang w:val="en-US" w:eastAsia="zh-CN" w:bidi="ar-SA"/>
    </w:rPr>
  </w:style>
  <w:style w:type="paragraph" w:customStyle="1" w:styleId="39">
    <w:name w:val="二级目录"/>
    <w:next w:val="1"/>
    <w:link w:val="38"/>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0">
    <w:name w:val="gjfg"/>
    <w:basedOn w:val="25"/>
    <w:qFormat/>
    <w:uiPriority w:val="0"/>
  </w:style>
  <w:style w:type="character" w:customStyle="1" w:styleId="41">
    <w:name w:val="一级目录 Char"/>
    <w:link w:val="42"/>
    <w:qFormat/>
    <w:locked/>
    <w:uiPriority w:val="99"/>
    <w:rPr>
      <w:rFonts w:ascii="黑体" w:eastAsia="黑体"/>
      <w:b/>
      <w:bCs/>
      <w:kern w:val="2"/>
      <w:sz w:val="44"/>
      <w:szCs w:val="44"/>
      <w:lang w:val="en-US" w:eastAsia="zh-CN" w:bidi="ar-SA"/>
    </w:rPr>
  </w:style>
  <w:style w:type="paragraph" w:customStyle="1" w:styleId="42">
    <w:name w:val="一级目录"/>
    <w:next w:val="1"/>
    <w:link w:val="4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3">
    <w:name w:val="x-tab-strip-text14"/>
    <w:basedOn w:val="25"/>
    <w:qFormat/>
    <w:uiPriority w:val="0"/>
  </w:style>
  <w:style w:type="character" w:customStyle="1" w:styleId="44">
    <w:name w:val="x-tab-strip-text12"/>
    <w:basedOn w:val="25"/>
    <w:qFormat/>
    <w:uiPriority w:val="0"/>
    <w:rPr>
      <w:b/>
      <w:color w:val="15428B"/>
    </w:rPr>
  </w:style>
  <w:style w:type="character" w:customStyle="1" w:styleId="45">
    <w:name w:val="批注主题 Char"/>
    <w:link w:val="21"/>
    <w:semiHidden/>
    <w:qFormat/>
    <w:uiPriority w:val="0"/>
    <w:rPr>
      <w:rFonts w:ascii="Calibri" w:hAnsi="Calibri" w:cs="Calibri"/>
      <w:b/>
      <w:bCs/>
      <w:kern w:val="2"/>
      <w:sz w:val="21"/>
      <w:szCs w:val="21"/>
    </w:rPr>
  </w:style>
  <w:style w:type="character" w:customStyle="1" w:styleId="46">
    <w:name w:val="qxdate"/>
    <w:basedOn w:val="25"/>
    <w:qFormat/>
    <w:uiPriority w:val="0"/>
    <w:rPr>
      <w:color w:val="333333"/>
      <w:sz w:val="18"/>
      <w:szCs w:val="18"/>
    </w:rPr>
  </w:style>
  <w:style w:type="character" w:customStyle="1" w:styleId="47">
    <w:name w:val="on"/>
    <w:basedOn w:val="25"/>
    <w:qFormat/>
    <w:uiPriority w:val="0"/>
    <w:rPr>
      <w:rFonts w:ascii="Tahoma" w:hAnsi="Tahoma" w:eastAsia="Tahoma" w:cs="Tahoma"/>
      <w:color w:val="004080"/>
      <w:sz w:val="18"/>
      <w:szCs w:val="18"/>
      <w:shd w:val="clear" w:color="auto" w:fill="9FD6FF"/>
    </w:rPr>
  </w:style>
  <w:style w:type="character" w:customStyle="1" w:styleId="48">
    <w:name w:val="task-item-subject"/>
    <w:basedOn w:val="25"/>
    <w:qFormat/>
    <w:uiPriority w:val="0"/>
  </w:style>
  <w:style w:type="character" w:customStyle="1" w:styleId="49">
    <w:name w:val="x-tab-strip-text17"/>
    <w:basedOn w:val="25"/>
    <w:qFormat/>
    <w:uiPriority w:val="0"/>
    <w:rPr>
      <w:color w:val="02245B"/>
    </w:rPr>
  </w:style>
  <w:style w:type="character" w:customStyle="1" w:styleId="50">
    <w:name w:val="display"/>
    <w:basedOn w:val="25"/>
    <w:qFormat/>
    <w:uiPriority w:val="0"/>
    <w:rPr>
      <w:bdr w:val="single" w:color="AAAAAA" w:sz="6" w:space="0"/>
    </w:rPr>
  </w:style>
  <w:style w:type="character" w:customStyle="1" w:styleId="51">
    <w:name w:val="img"/>
    <w:basedOn w:val="25"/>
    <w:qFormat/>
    <w:uiPriority w:val="0"/>
  </w:style>
  <w:style w:type="character" w:customStyle="1" w:styleId="52">
    <w:name w:val="display1"/>
    <w:basedOn w:val="25"/>
    <w:qFormat/>
    <w:uiPriority w:val="0"/>
  </w:style>
  <w:style w:type="character" w:customStyle="1" w:styleId="53">
    <w:name w:val="btnbargray"/>
    <w:basedOn w:val="25"/>
    <w:qFormat/>
    <w:uiPriority w:val="0"/>
    <w:rPr>
      <w:color w:val="808080"/>
    </w:rPr>
  </w:style>
  <w:style w:type="character" w:customStyle="1" w:styleId="54">
    <w:name w:val="x-tab-strip-text15"/>
    <w:basedOn w:val="25"/>
    <w:qFormat/>
    <w:uiPriority w:val="0"/>
    <w:rPr>
      <w:color w:val="246BB3"/>
    </w:rPr>
  </w:style>
  <w:style w:type="character" w:customStyle="1" w:styleId="55">
    <w:name w:val="displayarti"/>
    <w:basedOn w:val="25"/>
    <w:qFormat/>
    <w:uiPriority w:val="0"/>
    <w:rPr>
      <w:color w:val="FFFFFF"/>
      <w:shd w:val="clear" w:color="auto" w:fill="A00000"/>
    </w:rPr>
  </w:style>
  <w:style w:type="character" w:customStyle="1" w:styleId="56">
    <w:name w:val="redfilefwwh"/>
    <w:basedOn w:val="25"/>
    <w:qFormat/>
    <w:uiPriority w:val="0"/>
    <w:rPr>
      <w:color w:val="BA2636"/>
      <w:sz w:val="18"/>
      <w:szCs w:val="18"/>
    </w:rPr>
  </w:style>
  <w:style w:type="character" w:customStyle="1" w:styleId="57">
    <w:name w:val="subdisplay1"/>
    <w:basedOn w:val="25"/>
    <w:qFormat/>
    <w:uiPriority w:val="0"/>
    <w:rPr>
      <w:color w:val="808080"/>
    </w:rPr>
  </w:style>
  <w:style w:type="character" w:customStyle="1" w:styleId="58">
    <w:name w:val="groupcaptionhandler"/>
    <w:basedOn w:val="25"/>
    <w:qFormat/>
    <w:uiPriority w:val="0"/>
  </w:style>
  <w:style w:type="character" w:customStyle="1" w:styleId="59">
    <w:name w:val="x-tab-strip-text11"/>
    <w:basedOn w:val="25"/>
    <w:qFormat/>
    <w:uiPriority w:val="0"/>
  </w:style>
  <w:style w:type="character" w:customStyle="1" w:styleId="60">
    <w:name w:val="display2"/>
    <w:basedOn w:val="25"/>
    <w:qFormat/>
    <w:uiPriority w:val="0"/>
  </w:style>
  <w:style w:type="character" w:customStyle="1" w:styleId="61">
    <w:name w:val="批注框文本 Char"/>
    <w:link w:val="13"/>
    <w:qFormat/>
    <w:uiPriority w:val="0"/>
    <w:rPr>
      <w:rFonts w:ascii="Calibri" w:hAnsi="Calibri" w:cs="Calibri"/>
      <w:kern w:val="2"/>
      <w:sz w:val="18"/>
      <w:szCs w:val="18"/>
    </w:rPr>
  </w:style>
  <w:style w:type="character" w:customStyle="1" w:styleId="62">
    <w:name w:val="x-tab-strip-text16"/>
    <w:basedOn w:val="25"/>
    <w:qFormat/>
    <w:uiPriority w:val="0"/>
    <w:rPr>
      <w:color w:val="012F5E"/>
    </w:rPr>
  </w:style>
  <w:style w:type="character" w:customStyle="1" w:styleId="63">
    <w:name w:val="批注文字 Char"/>
    <w:link w:val="9"/>
    <w:semiHidden/>
    <w:qFormat/>
    <w:uiPriority w:val="0"/>
    <w:rPr>
      <w:rFonts w:ascii="Calibri" w:hAnsi="Calibri" w:cs="Calibri"/>
      <w:kern w:val="2"/>
      <w:sz w:val="21"/>
      <w:szCs w:val="21"/>
    </w:rPr>
  </w:style>
  <w:style w:type="character" w:customStyle="1" w:styleId="64">
    <w:name w:val="redfilenumber"/>
    <w:basedOn w:val="25"/>
    <w:qFormat/>
    <w:uiPriority w:val="0"/>
    <w:rPr>
      <w:color w:val="BA2636"/>
      <w:sz w:val="18"/>
      <w:szCs w:val="18"/>
    </w:rPr>
  </w:style>
  <w:style w:type="character" w:customStyle="1" w:styleId="65">
    <w:name w:val="标题 2 Char"/>
    <w:link w:val="5"/>
    <w:qFormat/>
    <w:locked/>
    <w:uiPriority w:val="99"/>
    <w:rPr>
      <w:rFonts w:ascii="Arial" w:hAnsi="Arial" w:eastAsia="红豆幼黑体" w:cs="Arial"/>
      <w:b/>
      <w:bCs/>
      <w:sz w:val="44"/>
      <w:szCs w:val="44"/>
    </w:rPr>
  </w:style>
  <w:style w:type="character" w:customStyle="1" w:styleId="66">
    <w:name w:val="img1"/>
    <w:basedOn w:val="25"/>
    <w:qFormat/>
    <w:uiPriority w:val="0"/>
  </w:style>
  <w:style w:type="character" w:customStyle="1" w:styleId="67">
    <w:name w:val="cfdate"/>
    <w:basedOn w:val="25"/>
    <w:qFormat/>
    <w:uiPriority w:val="0"/>
    <w:rPr>
      <w:color w:val="333333"/>
      <w:sz w:val="18"/>
      <w:szCs w:val="18"/>
    </w:rPr>
  </w:style>
  <w:style w:type="character" w:customStyle="1" w:styleId="68">
    <w:name w:val="x-tab-strip-text18"/>
    <w:basedOn w:val="25"/>
    <w:qFormat/>
    <w:uiPriority w:val="0"/>
    <w:rPr>
      <w:color w:val="15428B"/>
    </w:rPr>
  </w:style>
  <w:style w:type="character" w:customStyle="1" w:styleId="69">
    <w:name w:val="x-tab-strip-text9"/>
    <w:basedOn w:val="25"/>
    <w:qFormat/>
    <w:uiPriority w:val="0"/>
    <w:rPr>
      <w:rFonts w:ascii="宋体" w:hAnsi="宋体" w:eastAsia="宋体" w:cs="宋体"/>
      <w:color w:val="416AA3"/>
      <w:sz w:val="18"/>
      <w:szCs w:val="18"/>
    </w:rPr>
  </w:style>
  <w:style w:type="character" w:customStyle="1" w:styleId="70">
    <w:name w:val="x-tab-strip-text13"/>
    <w:basedOn w:val="25"/>
    <w:qFormat/>
    <w:uiPriority w:val="0"/>
    <w:rPr>
      <w:color w:val="FFFFFF"/>
    </w:rPr>
  </w:style>
  <w:style w:type="character" w:customStyle="1" w:styleId="71">
    <w:name w:val="subdisplay"/>
    <w:basedOn w:val="25"/>
    <w:qFormat/>
    <w:uiPriority w:val="0"/>
    <w:rPr>
      <w:color w:val="808080"/>
    </w:rPr>
  </w:style>
  <w:style w:type="character" w:customStyle="1" w:styleId="72">
    <w:name w:val="副标题 Char"/>
    <w:link w:val="17"/>
    <w:qFormat/>
    <w:uiPriority w:val="0"/>
    <w:rPr>
      <w:rFonts w:ascii="Cambria" w:hAnsi="Cambria" w:cs="Times New Roman"/>
      <w:b/>
      <w:bCs/>
      <w:kern w:val="28"/>
      <w:sz w:val="32"/>
      <w:szCs w:val="32"/>
    </w:rPr>
  </w:style>
  <w:style w:type="character" w:customStyle="1" w:styleId="73">
    <w:name w:val="x-tab-strip-text10"/>
    <w:basedOn w:val="25"/>
    <w:qFormat/>
    <w:uiPriority w:val="0"/>
  </w:style>
  <w:style w:type="character" w:customStyle="1" w:styleId="74">
    <w:name w:val="x-tab-strip-text8"/>
    <w:basedOn w:val="25"/>
    <w:qFormat/>
    <w:uiPriority w:val="0"/>
  </w:style>
  <w:style w:type="paragraph" w:customStyle="1" w:styleId="75">
    <w:name w:val="Table Paragraph"/>
    <w:basedOn w:val="1"/>
    <w:qFormat/>
    <w:uiPriority w:val="1"/>
  </w:style>
  <w:style w:type="paragraph" w:styleId="76">
    <w:name w:val="List Paragraph"/>
    <w:basedOn w:val="1"/>
    <w:qFormat/>
    <w:uiPriority w:val="34"/>
    <w:pPr>
      <w:ind w:firstLine="420" w:firstLineChars="200"/>
    </w:pPr>
  </w:style>
  <w:style w:type="paragraph" w:customStyle="1" w:styleId="77">
    <w:name w:val="Char1"/>
    <w:basedOn w:val="1"/>
    <w:qFormat/>
    <w:uiPriority w:val="99"/>
    <w:rPr>
      <w:rFonts w:ascii="Tahoma" w:hAnsi="Tahoma" w:cs="Tahoma"/>
      <w:sz w:val="24"/>
      <w:szCs w:val="24"/>
    </w:rPr>
  </w:style>
  <w:style w:type="paragraph" w:customStyle="1" w:styleId="78">
    <w:name w:val="列出段落1"/>
    <w:basedOn w:val="1"/>
    <w:qFormat/>
    <w:uiPriority w:val="99"/>
    <w:pPr>
      <w:ind w:firstLine="420" w:firstLineChars="200"/>
    </w:pPr>
  </w:style>
  <w:style w:type="paragraph" w:customStyle="1" w:styleId="79">
    <w:name w:val="_Style 2"/>
    <w:basedOn w:val="1"/>
    <w:qFormat/>
    <w:uiPriority w:val="34"/>
    <w:pPr>
      <w:ind w:firstLine="420" w:firstLineChars="200"/>
    </w:pPr>
  </w:style>
  <w:style w:type="paragraph" w:customStyle="1" w:styleId="80">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1">
    <w:name w:val="列表段落"/>
    <w:basedOn w:val="1"/>
    <w:qFormat/>
    <w:uiPriority w:val="34"/>
    <w:pPr>
      <w:ind w:firstLine="420" w:firstLineChars="200"/>
    </w:pPr>
  </w:style>
  <w:style w:type="paragraph" w:customStyle="1" w:styleId="82">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3">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4">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5">
    <w:name w:val="表中文字"/>
    <w:basedOn w:val="1"/>
    <w:qFormat/>
    <w:uiPriority w:val="0"/>
    <w:rPr>
      <w:rFonts w:ascii="Times New Roman" w:hAnsi="Times New Roman" w:eastAsia="宋体" w:cs="Times New Roman"/>
      <w:kern w:val="0"/>
      <w:sz w:val="24"/>
      <w:szCs w:val="24"/>
    </w:rPr>
  </w:style>
  <w:style w:type="table" w:customStyle="1" w:styleId="86">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4</TotalTime>
  <ScaleCrop>false</ScaleCrop>
  <LinksUpToDate>false</LinksUpToDate>
  <CharactersWithSpaces>20006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丁成业</cp:lastModifiedBy>
  <cp:lastPrinted>2021-05-26T10:27:00Z</cp:lastPrinted>
  <dcterms:modified xsi:type="dcterms:W3CDTF">2021-05-28T00:56:17Z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KSOSaveFontToCloudKey">
    <vt:lpwstr>8068780_cloud</vt:lpwstr>
  </property>
  <property fmtid="{D5CDD505-2E9C-101B-9397-08002B2CF9AE}" pid="4" name="ICV">
    <vt:lpwstr>1BFB15D045FB495C91F44CA6D9029FC0</vt:lpwstr>
  </property>
</Properties>
</file>