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2"/>
        <w:ind w:firstLine="0" w:firstLineChars="0"/>
        <w:rPr>
          <w:rFonts w:eastAsia="黑体"/>
          <w:b/>
          <w:bCs/>
          <w:sz w:val="84"/>
        </w:rPr>
      </w:pPr>
    </w:p>
    <w:p>
      <w:pPr>
        <w:pStyle w:val="8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2"/>
        <w:ind w:firstLine="0" w:firstLineChars="0"/>
        <w:jc w:val="both"/>
        <w:rPr>
          <w:rFonts w:hint="eastAsia" w:ascii="楷体" w:hAnsi="楷体" w:eastAsia="楷体" w:cs="楷体"/>
          <w:b/>
          <w:bCs/>
          <w:sz w:val="36"/>
          <w:szCs w:val="36"/>
        </w:rPr>
      </w:pPr>
    </w:p>
    <w:p>
      <w:pPr>
        <w:pStyle w:val="82"/>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项目名称：南京交通职业技术学院2021年零星项目咨询服务采购项目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eastAsia"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JY2021055</w:t>
      </w:r>
    </w:p>
    <w:p>
      <w:pPr>
        <w:pStyle w:val="82"/>
        <w:ind w:firstLine="0" w:firstLineChars="0"/>
        <w:jc w:val="both"/>
        <w:rPr>
          <w:rFonts w:ascii="宋体" w:hAnsi="宋体"/>
          <w:b/>
          <w:bCs/>
          <w:sz w:val="36"/>
          <w:szCs w:val="36"/>
        </w:rPr>
      </w:pPr>
    </w:p>
    <w:p>
      <w:pPr>
        <w:pStyle w:val="82"/>
        <w:ind w:firstLine="723"/>
        <w:jc w:val="both"/>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2"/>
        <w:ind w:firstLine="723"/>
        <w:jc w:val="center"/>
        <w:rPr>
          <w:rFonts w:hint="eastAsia" w:ascii="楷体" w:hAnsi="楷体" w:eastAsia="楷体" w:cs="楷体"/>
          <w:b/>
          <w:bCs/>
          <w:sz w:val="36"/>
          <w:szCs w:val="36"/>
        </w:rPr>
      </w:pPr>
    </w:p>
    <w:p>
      <w:pPr>
        <w:pStyle w:val="8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val="en-US" w:eastAsia="zh-CN"/>
        </w:rPr>
        <w:t>五</w:t>
      </w:r>
      <w:r>
        <w:rPr>
          <w:rFonts w:hint="eastAsia" w:ascii="楷体" w:hAnsi="楷体" w:eastAsia="楷体" w:cs="楷体"/>
          <w:b/>
          <w:bCs/>
          <w:sz w:val="36"/>
          <w:szCs w:val="36"/>
        </w:rPr>
        <w:t xml:space="preserve"> 月</w:t>
      </w:r>
    </w:p>
    <w:p>
      <w:pPr>
        <w:pStyle w:val="8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513029200"/>
      <w:bookmarkStart w:id="2" w:name="_Toc20823272"/>
      <w:bookmarkStart w:id="3" w:name="_Toc16938516"/>
      <w:bookmarkStart w:id="4" w:name="_Toc479757206"/>
      <w:bookmarkStart w:id="5" w:name="_Toc523127445"/>
      <w:r>
        <w:rPr>
          <w:rFonts w:hint="eastAsia" w:ascii="方正仿宋_GBK" w:hAnsi="方正仿宋_GBK" w:eastAsia="方正仿宋_GBK" w:cs="方正仿宋_GBK"/>
          <w:b/>
          <w:bCs/>
          <w:sz w:val="32"/>
          <w:szCs w:val="32"/>
        </w:rPr>
        <w:t>目    录</w:t>
      </w:r>
    </w:p>
    <w:p>
      <w:pPr>
        <w:pStyle w:val="16"/>
        <w:tabs>
          <w:tab w:val="right" w:leader="dot" w:pos="8306"/>
          <w:tab w:val="clear" w:pos="8720"/>
        </w:tabs>
      </w:pPr>
      <w:bookmarkStart w:id="140" w:name="_GoBack"/>
      <w:bookmarkEnd w:id="140"/>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_Toc31127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_Toc31127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_Toc9494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_Toc9494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_Toc31103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_Toc31103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_Toc9345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_Toc9345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_Toc25590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_Toc25590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_Toc30872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_Toc30872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_Toc17504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_Toc17504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_Toc31728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_Toc31728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_Toc7351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_Toc7351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_Toc23403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_Toc23403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_Toc5599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_Toc5599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_Toc13764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_Toc13764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_Toc3974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_Toc3974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_Toc8288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_Toc8288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_Toc29730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_Toc29730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_Toc990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r>
        <w:tab/>
      </w:r>
      <w:r>
        <w:fldChar w:fldCharType="begin"/>
      </w:r>
      <w:r>
        <w:instrText xml:space="preserve"> PAGEREF _Toc990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_Toc6606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_Toc6606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_Toc5634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_Toc5634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_Toc32527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_Toc32527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_Toc9179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_Toc9179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_Toc27342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_Toc27342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_Toc13923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_Toc13923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_Toc28932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_Toc28932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_Toc11504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_Toc11504 \h </w:instrText>
      </w:r>
      <w:r>
        <w:fldChar w:fldCharType="separate"/>
      </w:r>
      <w:r>
        <w:t>15</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_Toc10735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_Toc10735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_Toc1052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_Toc1052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_Toc6089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_Toc6089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_Toc29976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_Toc29976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_Toc22357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_Toc22357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_Toc14479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w:t>
      </w:r>
      <w:r>
        <w:rPr>
          <w:rFonts w:hint="eastAsia" w:ascii="楷体" w:hAnsi="楷体" w:eastAsia="楷体" w:cs="楷体"/>
          <w:bCs/>
        </w:rPr>
        <w:t>相关附表格式</w:t>
      </w:r>
      <w:r>
        <w:tab/>
      </w:r>
      <w:r>
        <w:fldChar w:fldCharType="begin"/>
      </w:r>
      <w:r>
        <w:instrText xml:space="preserve"> PAGEREF _Toc14479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_Toc22979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_Toc20850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_Toc20850 \h </w:instrText>
      </w:r>
      <w:r>
        <w:fldChar w:fldCharType="separate"/>
      </w:r>
      <w:r>
        <w:t>25</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_Toc6836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_Toc6836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_Toc10095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_Toc10095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10896"/>
      <w:bookmarkStart w:id="7" w:name="_Toc31882"/>
      <w:bookmarkStart w:id="8" w:name="_Toc324237145"/>
    </w:p>
    <w:p>
      <w:pPr>
        <w:pStyle w:val="42"/>
        <w:spacing w:after="319"/>
        <w:rPr>
          <w:rFonts w:ascii="楷体" w:hAnsi="楷体" w:eastAsia="楷体" w:cs="楷体"/>
          <w:sz w:val="40"/>
        </w:rPr>
      </w:pPr>
      <w:bookmarkStart w:id="9" w:name="_Toc31127"/>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南京交通职业技术学院2021年零星项目咨询服务采购实施竞争性磋商</w:t>
      </w:r>
      <w:r>
        <w:rPr>
          <w:rFonts w:hint="eastAsia" w:ascii="楷体" w:hAnsi="楷体" w:eastAsia="楷体" w:cs="楷体"/>
          <w:sz w:val="24"/>
          <w:szCs w:val="24"/>
        </w:rPr>
        <w:t>采购，欢迎符合条商参加磋商。</w:t>
      </w:r>
    </w:p>
    <w:p>
      <w:pPr>
        <w:pStyle w:val="39"/>
        <w:numPr>
          <w:ilvl w:val="0"/>
          <w:numId w:val="0"/>
        </w:numPr>
        <w:outlineLvl w:val="9"/>
        <w:rPr>
          <w:rFonts w:hint="eastAsia" w:ascii="楷体" w:hAnsi="楷体" w:eastAsia="楷体" w:cs="楷体"/>
          <w:snapToGrid w:val="0"/>
          <w:kern w:val="0"/>
        </w:rPr>
      </w:pPr>
      <w:bookmarkStart w:id="10" w:name="_Toc9494"/>
      <w:r>
        <w:rPr>
          <w:rFonts w:hint="eastAsia" w:ascii="楷体" w:hAnsi="楷体" w:eastAsia="楷体" w:cs="楷体"/>
          <w:snapToGrid w:val="0"/>
          <w:kern w:val="0"/>
        </w:rPr>
        <w:t>一、采购项目简要说明</w:t>
      </w:r>
      <w:bookmarkEnd w:id="10"/>
    </w:p>
    <w:tbl>
      <w:tblPr>
        <w:tblStyle w:val="23"/>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2021年零星项目咨询服务</w:t>
            </w:r>
            <w:r>
              <w:rPr>
                <w:rFonts w:hint="eastAsia" w:ascii="楷体" w:hAnsi="楷体" w:eastAsia="楷体" w:cs="楷体"/>
                <w:sz w:val="24"/>
                <w:szCs w:val="24"/>
              </w:rPr>
              <w:t>实施竞争性磋商采购。</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4日</w:t>
            </w:r>
            <w:r>
              <w:rPr>
                <w:rFonts w:hint="eastAsia" w:ascii="楷体" w:hAnsi="楷体" w:eastAsia="楷体" w:cs="楷体"/>
                <w:sz w:val="24"/>
                <w:szCs w:val="24"/>
              </w:rPr>
              <w:t>前将确认发</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39"/>
        <w:numPr>
          <w:ilvl w:val="0"/>
          <w:numId w:val="0"/>
        </w:numPr>
        <w:outlineLvl w:val="9"/>
        <w:rPr>
          <w:rFonts w:hint="eastAsia" w:ascii="楷体" w:hAnsi="楷体" w:eastAsia="楷体" w:cs="楷体"/>
          <w:snapToGrid w:val="0"/>
          <w:kern w:val="0"/>
        </w:rPr>
      </w:pPr>
    </w:p>
    <w:p>
      <w:pPr>
        <w:pStyle w:val="39"/>
        <w:numPr>
          <w:ilvl w:val="0"/>
          <w:numId w:val="0"/>
        </w:numPr>
        <w:outlineLvl w:val="9"/>
        <w:rPr>
          <w:rFonts w:hint="eastAsia" w:ascii="楷体" w:hAnsi="楷体" w:eastAsia="楷体" w:cs="楷体"/>
          <w:snapToGrid w:val="0"/>
          <w:kern w:val="0"/>
        </w:rPr>
      </w:pPr>
      <w:bookmarkStart w:id="11" w:name="_Toc3110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20614211"/>
      <w:bookmarkStart w:id="14" w:name="_Toc16747"/>
      <w:bookmarkStart w:id="15" w:name="_Toc324237146"/>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39"/>
        <w:numPr>
          <w:ilvl w:val="0"/>
          <w:numId w:val="0"/>
        </w:numPr>
        <w:outlineLvl w:val="9"/>
        <w:rPr>
          <w:rFonts w:hint="eastAsia" w:ascii="楷体" w:hAnsi="楷体" w:eastAsia="楷体" w:cs="楷体"/>
          <w:snapToGrid w:val="0"/>
          <w:kern w:val="0"/>
        </w:rPr>
      </w:pPr>
      <w:bookmarkStart w:id="17" w:name="_Toc9345"/>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39"/>
        <w:numPr>
          <w:ilvl w:val="0"/>
          <w:numId w:val="0"/>
        </w:numPr>
        <w:outlineLvl w:val="9"/>
        <w:rPr>
          <w:rFonts w:hint="eastAsia" w:ascii="楷体" w:hAnsi="楷体" w:eastAsia="楷体" w:cs="楷体"/>
          <w:snapToGrid w:val="0"/>
          <w:kern w:val="0"/>
        </w:rPr>
      </w:pPr>
      <w:bookmarkStart w:id="18" w:name="_Toc25590"/>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Style w:val="26"/>
          <w:rFonts w:hint="eastAsia" w:ascii="楷体" w:hAnsi="楷体" w:eastAsia="楷体" w:cs="楷体"/>
          <w:b/>
          <w:bCs/>
          <w:kern w:val="1"/>
          <w:sz w:val="24"/>
          <w:szCs w:val="24"/>
        </w:rPr>
      </w:pPr>
      <w:r>
        <w:rPr>
          <w:rFonts w:hint="eastAsia" w:ascii="楷体" w:hAnsi="楷体" w:eastAsia="楷体" w:cs="楷体"/>
          <w:bCs/>
          <w:sz w:val="24"/>
        </w:rPr>
        <w:t>4、响应文件接收及开启时间：</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39"/>
        <w:numPr>
          <w:ilvl w:val="0"/>
          <w:numId w:val="0"/>
        </w:numPr>
        <w:outlineLvl w:val="9"/>
        <w:rPr>
          <w:rFonts w:hint="eastAsia" w:ascii="楷体" w:hAnsi="楷体" w:eastAsia="楷体" w:cs="楷体"/>
          <w:snapToGrid w:val="0"/>
          <w:kern w:val="0"/>
        </w:rPr>
      </w:pPr>
      <w:bookmarkStart w:id="19" w:name="_Toc30872"/>
      <w:r>
        <w:rPr>
          <w:rFonts w:hint="eastAsia" w:ascii="楷体" w:hAnsi="楷体" w:eastAsia="楷体" w:cs="楷体"/>
          <w:snapToGrid w:val="0"/>
          <w:kern w:val="0"/>
        </w:rPr>
        <w:t>五、磋商保证金</w:t>
      </w:r>
      <w:bookmarkEnd w:id="19"/>
    </w:p>
    <w:p>
      <w:pPr>
        <w:snapToGrid w:val="0"/>
        <w:ind w:firstLine="482" w:firstLineChars="200"/>
        <w:rPr>
          <w:rFonts w:hint="eastAsia" w:ascii="楷体" w:hAnsi="楷体" w:eastAsia="楷体" w:cs="楷体"/>
          <w:bCs/>
          <w:sz w:val="24"/>
        </w:rPr>
      </w:pP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r>
        <w:rPr>
          <w:rFonts w:hint="eastAsia" w:ascii="楷体" w:hAnsi="楷体" w:eastAsia="楷体" w:cs="楷体"/>
          <w:bCs/>
          <w:sz w:val="24"/>
        </w:rPr>
        <w:t>(现金信封密封好，现场收取)， 成交后转为履约保证金。</w:t>
      </w:r>
    </w:p>
    <w:p>
      <w:pPr>
        <w:pStyle w:val="39"/>
        <w:numPr>
          <w:ilvl w:val="0"/>
          <w:numId w:val="0"/>
        </w:numPr>
        <w:outlineLvl w:val="9"/>
        <w:rPr>
          <w:rFonts w:ascii="楷体" w:hAnsi="楷体" w:eastAsia="楷体" w:cs="楷体"/>
          <w:snapToGrid w:val="0"/>
          <w:kern w:val="0"/>
        </w:rPr>
      </w:pPr>
      <w:bookmarkStart w:id="20" w:name="_Toc17504"/>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w:t>
      </w:r>
      <w:r>
        <w:rPr>
          <w:rFonts w:hint="eastAsia" w:ascii="楷体" w:hAnsi="楷体" w:eastAsia="楷体" w:cs="楷体"/>
          <w:bCs/>
          <w:sz w:val="24"/>
          <w:lang w:val="en-US" w:eastAsia="zh-CN"/>
        </w:rPr>
        <w:t>729</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r>
        <w:rPr>
          <w:rFonts w:hint="eastAsia" w:ascii="楷体" w:hAnsi="楷体" w:eastAsia="楷体" w:cs="楷体"/>
          <w:bCs/>
          <w:sz w:val="24"/>
        </w:rPr>
        <w:t>963</w:t>
      </w:r>
      <w:bookmarkEnd w:id="1"/>
      <w:bookmarkEnd w:id="2"/>
      <w:bookmarkEnd w:id="3"/>
      <w:bookmarkEnd w:id="4"/>
      <w:bookmarkEnd w:id="5"/>
      <w:bookmarkEnd w:id="13"/>
      <w:bookmarkEnd w:id="14"/>
      <w:bookmarkEnd w:id="15"/>
      <w:bookmarkStart w:id="21" w:name="_Toc3756"/>
      <w:bookmarkStart w:id="22" w:name="_Toc18049"/>
      <w:bookmarkStart w:id="23" w:name="_Toc513029209"/>
      <w:bookmarkStart w:id="24" w:name="_Toc61149549"/>
      <w:bookmarkStart w:id="25" w:name="_Toc14577347"/>
      <w:bookmarkStart w:id="26" w:name="_Toc324237147"/>
      <w:bookmarkStart w:id="27" w:name="_Toc20823314"/>
      <w:bookmarkStart w:id="28" w:name="_Toc16938558"/>
      <w:bookmarkStart w:id="29" w:name="_Toc120614221"/>
      <w:bookmarkStart w:id="30" w:name="_Toc479757207"/>
      <w:bookmarkStart w:id="31" w:name="_Toc513029242"/>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rPr>
          <w:rFonts w:hint="eastAsia"/>
        </w:rPr>
      </w:pPr>
    </w:p>
    <w:p>
      <w:pPr>
        <w:rPr>
          <w:rFonts w:hint="eastAsia" w:eastAsia="楷体"/>
          <w:lang w:val="en-US" w:eastAsia="zh-CN"/>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bookmarkStart w:id="32" w:name="_Toc31728"/>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39"/>
        <w:numPr>
          <w:ilvl w:val="0"/>
          <w:numId w:val="0"/>
        </w:numPr>
        <w:outlineLvl w:val="9"/>
        <w:rPr>
          <w:rFonts w:hint="eastAsia" w:ascii="楷体" w:hAnsi="楷体" w:eastAsia="楷体" w:cs="楷体"/>
          <w:snapToGrid w:val="0"/>
          <w:kern w:val="0"/>
          <w:lang w:val="zh-CN"/>
        </w:rPr>
      </w:pPr>
      <w:bookmarkStart w:id="33" w:name="_Toc7351"/>
      <w:bookmarkStart w:id="34" w:name="_Toc20823309"/>
      <w:bookmarkStart w:id="35" w:name="_Toc16938553"/>
      <w:bookmarkStart w:id="36" w:name="_Toc513029237"/>
      <w:bookmarkStart w:id="37" w:name="_Toc16499"/>
      <w:bookmarkStart w:id="38" w:name="_Toc673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39"/>
        <w:numPr>
          <w:ilvl w:val="0"/>
          <w:numId w:val="0"/>
        </w:numPr>
        <w:outlineLvl w:val="9"/>
        <w:rPr>
          <w:rFonts w:hint="eastAsia" w:ascii="楷体" w:hAnsi="楷体" w:eastAsia="楷体" w:cs="楷体"/>
          <w:snapToGrid w:val="0"/>
          <w:kern w:val="0"/>
          <w:lang w:val="zh-CN"/>
        </w:rPr>
      </w:pPr>
      <w:bookmarkStart w:id="41" w:name="_Toc2340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39"/>
        <w:numPr>
          <w:ilvl w:val="0"/>
          <w:numId w:val="0"/>
        </w:numPr>
        <w:outlineLvl w:val="9"/>
        <w:rPr>
          <w:rFonts w:hint="eastAsia" w:ascii="楷体" w:hAnsi="楷体" w:eastAsia="楷体" w:cs="楷体"/>
          <w:snapToGrid w:val="0"/>
          <w:kern w:val="0"/>
          <w:lang w:val="zh-CN"/>
        </w:rPr>
      </w:pPr>
      <w:bookmarkStart w:id="42" w:name="_Toc487210477"/>
      <w:bookmarkStart w:id="43" w:name="_Toc5599"/>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39"/>
        <w:numPr>
          <w:ilvl w:val="0"/>
          <w:numId w:val="0"/>
        </w:numPr>
        <w:outlineLvl w:val="9"/>
        <w:rPr>
          <w:rFonts w:hint="eastAsia" w:ascii="楷体" w:hAnsi="楷体" w:eastAsia="楷体" w:cs="楷体"/>
          <w:snapToGrid w:val="0"/>
          <w:kern w:val="0"/>
          <w:lang w:val="zh-CN"/>
        </w:rPr>
      </w:pPr>
      <w:bookmarkStart w:id="44" w:name="_Toc13764"/>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39"/>
        <w:numPr>
          <w:ilvl w:val="0"/>
          <w:numId w:val="0"/>
        </w:numPr>
        <w:outlineLvl w:val="9"/>
        <w:rPr>
          <w:rFonts w:hint="eastAsia" w:ascii="楷体" w:hAnsi="楷体" w:eastAsia="楷体" w:cs="楷体"/>
          <w:snapToGrid w:val="0"/>
          <w:kern w:val="0"/>
          <w:lang w:val="zh-CN"/>
        </w:rPr>
      </w:pPr>
      <w:bookmarkStart w:id="50" w:name="_Toc487210483"/>
      <w:bookmarkStart w:id="51" w:name="_Toc3974"/>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2"/>
        <w:spacing w:after="319"/>
        <w:rPr>
          <w:rFonts w:ascii="楷体" w:hAnsi="楷体" w:eastAsia="楷体" w:cs="楷体"/>
          <w:sz w:val="40"/>
        </w:rPr>
      </w:pPr>
      <w:bookmarkStart w:id="52" w:name="_Toc324237148"/>
      <w:bookmarkStart w:id="53" w:name="_Toc32263"/>
      <w:bookmarkStart w:id="54" w:name="_Toc8288"/>
      <w:bookmarkStart w:id="55" w:name="_Toc120614281"/>
      <w:bookmarkStart w:id="56" w:name="_Toc49090575"/>
      <w:bookmarkStart w:id="57" w:name="_Toc26554093"/>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18960"/>
      <w:bookmarkStart w:id="61" w:name="_Toc324237156"/>
    </w:p>
    <w:p>
      <w:pPr>
        <w:pStyle w:val="39"/>
        <w:numPr>
          <w:ilvl w:val="0"/>
          <w:numId w:val="0"/>
        </w:numPr>
        <w:outlineLvl w:val="9"/>
        <w:rPr>
          <w:rFonts w:hint="eastAsia" w:ascii="楷体" w:hAnsi="楷体" w:eastAsia="楷体" w:cs="楷体"/>
          <w:snapToGrid w:val="0"/>
          <w:kern w:val="0"/>
          <w:lang w:val="zh-CN"/>
        </w:rPr>
      </w:pPr>
      <w:bookmarkStart w:id="62" w:name="_Toc29730"/>
      <w:r>
        <w:rPr>
          <w:rFonts w:hint="eastAsia" w:ascii="楷体" w:hAnsi="楷体" w:eastAsia="楷体" w:cs="楷体"/>
          <w:snapToGrid w:val="0"/>
          <w:kern w:val="0"/>
          <w:lang w:val="zh-CN"/>
        </w:rPr>
        <w:t>一、</w:t>
      </w:r>
      <w:r>
        <w:rPr>
          <w:rFonts w:hint="eastAsia" w:ascii="楷体" w:hAnsi="楷体" w:eastAsia="楷体" w:cs="楷体"/>
          <w:bCs/>
          <w:sz w:val="24"/>
          <w:lang w:val="zh-CN"/>
        </w:rPr>
        <w:t>委托内容</w:t>
      </w:r>
      <w:bookmarkEnd w:id="62"/>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施工方案优化、工程量清单及控制价编制、过程质量督查、项目资料审查。</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1）施工方案优化：咨询单位负责项目施工方案优化，提出优化建议，满足施工需要。</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2）工程量清单及控制价编制：依据方案图纸、结合现行计价文件编制工程量清单和控制价，并按委托方要求进行调整，按市场合理价进行控制价。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3）过程质量督查：对工程进行进度、质量、投资、安全控制，合同管理、信息管理，协调施工现场各方面关系。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4）项目资料审查：项目资料收集整理，与审计、监察等部门对接，确保资料的完整性及准确性。</w:t>
      </w:r>
    </w:p>
    <w:p>
      <w:pPr>
        <w:pStyle w:val="39"/>
        <w:numPr>
          <w:ilvl w:val="0"/>
          <w:numId w:val="0"/>
        </w:numPr>
        <w:outlineLvl w:val="9"/>
        <w:rPr>
          <w:rFonts w:hint="eastAsia" w:ascii="楷体" w:hAnsi="楷体" w:eastAsia="楷体" w:cs="楷体"/>
          <w:snapToGrid w:val="0"/>
          <w:kern w:val="0"/>
          <w:lang w:val="zh-CN"/>
        </w:rPr>
      </w:pPr>
      <w:bookmarkStart w:id="63" w:name="_Toc990"/>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bookmarkEnd w:id="63"/>
    </w:p>
    <w:tbl>
      <w:tblPr>
        <w:tblStyle w:val="23"/>
        <w:tblW w:w="8365" w:type="dxa"/>
        <w:tblInd w:w="96" w:type="dxa"/>
        <w:tblLayout w:type="fixed"/>
        <w:tblCellMar>
          <w:top w:w="0" w:type="dxa"/>
          <w:left w:w="108" w:type="dxa"/>
          <w:bottom w:w="0" w:type="dxa"/>
          <w:right w:w="108" w:type="dxa"/>
        </w:tblCellMar>
      </w:tblPr>
      <w:tblGrid>
        <w:gridCol w:w="1676"/>
        <w:gridCol w:w="1320"/>
        <w:gridCol w:w="1215"/>
        <w:gridCol w:w="1245"/>
        <w:gridCol w:w="1480"/>
        <w:gridCol w:w="1429"/>
      </w:tblGrid>
      <w:tr>
        <w:tblPrEx>
          <w:tblCellMar>
            <w:top w:w="0" w:type="dxa"/>
            <w:left w:w="108" w:type="dxa"/>
            <w:bottom w:w="0" w:type="dxa"/>
            <w:right w:w="108" w:type="dxa"/>
          </w:tblCellMar>
        </w:tblPrEx>
        <w:trPr>
          <w:trHeight w:val="90" w:hRule="atLeast"/>
        </w:trPr>
        <w:tc>
          <w:tcPr>
            <w:tcW w:w="167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工作内容</w:t>
            </w:r>
          </w:p>
        </w:tc>
        <w:tc>
          <w:tcPr>
            <w:tcW w:w="1320"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5万元以下</w:t>
            </w:r>
          </w:p>
        </w:tc>
        <w:tc>
          <w:tcPr>
            <w:tcW w:w="121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5-10万元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10-50万元</w:t>
            </w:r>
          </w:p>
        </w:tc>
        <w:tc>
          <w:tcPr>
            <w:tcW w:w="1480"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50-100万元</w:t>
            </w:r>
          </w:p>
        </w:tc>
        <w:tc>
          <w:tcPr>
            <w:tcW w:w="1429"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100万元以上</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施工方案优化</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5000</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过程质量督查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1.5%</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工程量清单及控制价编制</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0.38%</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项目资料审查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r>
    </w:tbl>
    <w:p>
      <w:pPr>
        <w:snapToGrid w:val="0"/>
        <w:spacing w:line="360" w:lineRule="auto"/>
        <w:rPr>
          <w:rFonts w:hint="eastAsia" w:ascii="楷体" w:hAnsi="楷体" w:eastAsia="楷体" w:cs="楷体"/>
          <w:bCs/>
          <w:sz w:val="24"/>
          <w:lang w:val="zh-CN"/>
        </w:rPr>
      </w:pPr>
      <w:r>
        <w:rPr>
          <w:rFonts w:hint="eastAsia" w:ascii="楷体" w:hAnsi="楷体" w:eastAsia="楷体" w:cs="楷体"/>
          <w:bCs/>
          <w:sz w:val="24"/>
          <w:lang w:val="zh-CN"/>
        </w:rPr>
        <w:t>说明：投标人按整体下浮率进行报价，报价不得高于最高限价，否则作废标处理。</w:t>
      </w:r>
    </w:p>
    <w:p>
      <w:pPr>
        <w:pStyle w:val="39"/>
        <w:numPr>
          <w:ilvl w:val="0"/>
          <w:numId w:val="0"/>
        </w:numPr>
        <w:outlineLvl w:val="9"/>
        <w:rPr>
          <w:rFonts w:hint="eastAsia" w:ascii="楷体" w:hAnsi="楷体" w:eastAsia="楷体" w:cs="楷体"/>
          <w:snapToGrid w:val="0"/>
          <w:kern w:val="0"/>
          <w:lang w:val="zh-CN" w:eastAsia="zh-CN"/>
        </w:rPr>
      </w:pPr>
      <w:bookmarkStart w:id="64" w:name="_Toc6606"/>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bookmarkEnd w:id="64"/>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投标人具有工程造价咨询乙级资质（提供证书复印件加盖公章），项目实施期间咨询人员必须常驻现场进行管理。</w:t>
      </w:r>
    </w:p>
    <w:p>
      <w:pPr>
        <w:pStyle w:val="39"/>
        <w:numPr>
          <w:ilvl w:val="0"/>
          <w:numId w:val="0"/>
        </w:numPr>
        <w:outlineLvl w:val="9"/>
        <w:rPr>
          <w:rFonts w:hint="eastAsia" w:ascii="楷体" w:hAnsi="楷体" w:eastAsia="楷体" w:cs="楷体"/>
          <w:snapToGrid w:val="0"/>
          <w:kern w:val="0"/>
          <w:lang w:val="zh-CN" w:eastAsia="zh-CN"/>
        </w:rPr>
      </w:pPr>
      <w:bookmarkStart w:id="65" w:name="_Toc5634"/>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bookmarkEnd w:id="65"/>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服务期限为三年，合同根据每年考核结果一年一签。</w:t>
      </w:r>
    </w:p>
    <w:p>
      <w:pPr>
        <w:pStyle w:val="39"/>
        <w:numPr>
          <w:ilvl w:val="0"/>
          <w:numId w:val="0"/>
        </w:numPr>
        <w:outlineLvl w:val="9"/>
        <w:rPr>
          <w:rFonts w:hint="eastAsia" w:ascii="楷体" w:hAnsi="楷体" w:eastAsia="楷体" w:cs="楷体"/>
          <w:snapToGrid w:val="0"/>
          <w:kern w:val="0"/>
          <w:lang w:val="zh-CN" w:eastAsia="zh-CN"/>
        </w:rPr>
      </w:pPr>
      <w:bookmarkStart w:id="66" w:name="_Toc32527"/>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bookmarkEnd w:id="66"/>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学院每年支付3万元咨询服务基本费。其他相关咨询服务费用由中标单位承担、在招标文件中予以明确。</w:t>
      </w:r>
    </w:p>
    <w:p>
      <w:pPr>
        <w:pStyle w:val="39"/>
        <w:numPr>
          <w:ilvl w:val="0"/>
          <w:numId w:val="0"/>
        </w:numPr>
        <w:outlineLvl w:val="9"/>
        <w:rPr>
          <w:rFonts w:hint="eastAsia" w:ascii="楷体" w:hAnsi="楷体" w:eastAsia="楷体" w:cs="楷体"/>
          <w:snapToGrid w:val="0"/>
          <w:kern w:val="0"/>
          <w:lang w:val="zh-CN"/>
        </w:rPr>
      </w:pPr>
      <w:bookmarkStart w:id="67" w:name="_Toc9179"/>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bookmarkEnd w:id="67"/>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1、投标人应遵守中华人民共和国《政府采购法》、《招标投标法》、《合同法》和《反不正当竞争法》等有关法律、法规，如有违反，将视为不合格投标人，其投标文件无效。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2、投标人报价为年保养费用+年维修更换材料费用+年移机费用+预备费。四项费用缺一不可，否则按废标处理。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3、投标人报价含各种税费，投标人应充分考虑各种风险因素，包括但不限于：材料价格市场波动风险、政府最低工资标准调整风险、材料间不同品牌之间价格差异风险等。学院支付更换材料费用时，按实际更换材料发生量和投标人确定的固定单价结算，单价不再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4、投标人所提供的材料配件为原厂正品配件。不得以排挤对手为目的，以低于成本的价格销售商品。如果学院有理由认为投标人提供的配件价格低于其成本，则投标人需提供原厂授权其销售及其进货成本的证明材料，若投标人无法在1周内提供，则按废标处理。</w:t>
      </w: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8" w:name="_Toc27342"/>
      <w:bookmarkStart w:id="69" w:name="_Toc24347"/>
      <w:bookmarkStart w:id="70" w:name="_Toc273"/>
      <w:bookmarkStart w:id="71" w:name="_Toc324237157"/>
      <w:bookmarkStart w:id="72" w:name="_Toc8457"/>
      <w:r>
        <w:rPr>
          <w:rFonts w:hint="eastAsia" w:ascii="楷体" w:hAnsi="楷体" w:eastAsia="楷体" w:cs="楷体"/>
          <w:b/>
          <w:bCs/>
          <w:sz w:val="44"/>
          <w:szCs w:val="44"/>
        </w:rPr>
        <w:t>第四章  评审方法和评审标准</w:t>
      </w:r>
      <w:bookmarkEnd w:id="68"/>
    </w:p>
    <w:p>
      <w:pPr>
        <w:pStyle w:val="39"/>
        <w:numPr>
          <w:ilvl w:val="0"/>
          <w:numId w:val="0"/>
        </w:numPr>
        <w:outlineLvl w:val="9"/>
        <w:rPr>
          <w:rFonts w:hint="eastAsia" w:ascii="楷体" w:hAnsi="楷体" w:eastAsia="楷体" w:cs="楷体"/>
          <w:snapToGrid w:val="0"/>
          <w:kern w:val="0"/>
        </w:rPr>
      </w:pPr>
      <w:bookmarkStart w:id="73" w:name="_Toc13923"/>
      <w:r>
        <w:rPr>
          <w:rFonts w:hint="eastAsia" w:ascii="楷体" w:hAnsi="楷体" w:eastAsia="楷体" w:cs="楷体"/>
          <w:snapToGrid w:val="0"/>
          <w:kern w:val="0"/>
        </w:rPr>
        <w:t>一、评标方法与定标原则</w:t>
      </w:r>
      <w:bookmarkEnd w:id="69"/>
      <w:bookmarkEnd w:id="73"/>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每个分包由评标委员会推荐1个成交候选人。具体打分办法如下：</w:t>
      </w:r>
    </w:p>
    <w:p>
      <w:pPr>
        <w:pStyle w:val="39"/>
        <w:numPr>
          <w:ilvl w:val="0"/>
          <w:numId w:val="0"/>
        </w:numPr>
        <w:outlineLvl w:val="9"/>
        <w:rPr>
          <w:rFonts w:hint="eastAsia" w:ascii="楷体" w:hAnsi="楷体" w:eastAsia="楷体" w:cs="楷体"/>
          <w:snapToGrid w:val="0"/>
          <w:kern w:val="0"/>
        </w:rPr>
      </w:pPr>
      <w:bookmarkStart w:id="74" w:name="_Toc25132"/>
      <w:bookmarkStart w:id="75" w:name="_Toc26593"/>
      <w:bookmarkStart w:id="76" w:name="_Toc27008"/>
      <w:bookmarkStart w:id="77" w:name="_Toc31574"/>
      <w:bookmarkStart w:id="78" w:name="_Toc28932"/>
      <w:r>
        <w:rPr>
          <w:rFonts w:hint="eastAsia" w:ascii="楷体" w:hAnsi="楷体" w:eastAsia="楷体" w:cs="楷体"/>
          <w:snapToGrid w:val="0"/>
          <w:kern w:val="0"/>
        </w:rPr>
        <w:t>二、评标标准</w:t>
      </w:r>
      <w:bookmarkEnd w:id="74"/>
      <w:bookmarkEnd w:id="75"/>
      <w:bookmarkEnd w:id="76"/>
      <w:bookmarkEnd w:id="77"/>
      <w:bookmarkEnd w:id="78"/>
    </w:p>
    <w:tbl>
      <w:tblPr>
        <w:tblStyle w:val="23"/>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585"/>
        <w:gridCol w:w="510"/>
        <w:gridCol w:w="6240"/>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58" w:type="dxa"/>
            <w:noWrap/>
            <w:vAlign w:val="center"/>
          </w:tcPr>
          <w:p>
            <w:pPr>
              <w:spacing w:after="156" w:line="280" w:lineRule="exact"/>
              <w:ind w:firstLine="11" w:firstLineChars="6"/>
              <w:jc w:val="center"/>
              <w:rPr>
                <w:rFonts w:ascii="宋体" w:hAnsi="宋体" w:cs="宋体"/>
                <w:b/>
                <w:sz w:val="18"/>
                <w:szCs w:val="18"/>
              </w:rPr>
            </w:pPr>
            <w:r>
              <w:rPr>
                <w:rFonts w:hint="eastAsia" w:ascii="宋体" w:hAnsi="宋体" w:cs="宋体"/>
                <w:b/>
                <w:sz w:val="18"/>
                <w:szCs w:val="18"/>
              </w:rPr>
              <w:t>序号</w:t>
            </w:r>
          </w:p>
        </w:tc>
        <w:tc>
          <w:tcPr>
            <w:tcW w:w="585"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评分项目</w:t>
            </w:r>
          </w:p>
        </w:tc>
        <w:tc>
          <w:tcPr>
            <w:tcW w:w="51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分值</w:t>
            </w:r>
          </w:p>
        </w:tc>
        <w:tc>
          <w:tcPr>
            <w:tcW w:w="624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评分细则</w:t>
            </w:r>
          </w:p>
        </w:tc>
        <w:tc>
          <w:tcPr>
            <w:tcW w:w="467"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exac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一</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投标报价</w:t>
            </w:r>
          </w:p>
        </w:tc>
        <w:tc>
          <w:tcPr>
            <w:tcW w:w="510" w:type="dxa"/>
            <w:tcBorders>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18"/>
                <w:szCs w:val="18"/>
              </w:rPr>
            </w:pPr>
            <w:r>
              <w:rPr>
                <w:rFonts w:hint="eastAsia" w:ascii="宋体" w:hAnsi="宋体" w:eastAsia="宋体" w:cs="宋体"/>
                <w:sz w:val="18"/>
                <w:szCs w:val="18"/>
              </w:rPr>
              <w:t>价格分采用低价优先法计算，即满足磋商文件要求且报价最低的供应商报价为评标基准价，其价格分为满分</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分，其它投标人的价格分统一按照以下公式计算：投标报价得分=(最低报价/该投标人的投标报价)×</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宋体" w:hAnsi="宋体" w:cs="宋体"/>
                <w:sz w:val="18"/>
                <w:szCs w:val="18"/>
              </w:rPr>
            </w:pPr>
            <w:r>
              <w:rPr>
                <w:rFonts w:hint="eastAsia" w:ascii="宋体" w:hAnsi="宋体" w:eastAsia="宋体" w:cs="宋体"/>
                <w:sz w:val="18"/>
                <w:szCs w:val="18"/>
              </w:rPr>
              <w:t>注：评标小组认为投标供应商的报价明显低于其他通过符合性审查投标供应商的报价，有可能影响产品质量或者不能诚信履约的，评标小组有权要求其在评标现场合理的时间内提供书面说明，必要时提交相关证明材料；投标供应商不能证明其报价合理性的，评标小组将其作为无效投标处理。</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二</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企业资信</w:t>
            </w:r>
          </w:p>
        </w:tc>
        <w:tc>
          <w:tcPr>
            <w:tcW w:w="510" w:type="dxa"/>
            <w:tcBorders>
              <w:top w:val="single" w:color="auto" w:sz="4" w:space="0"/>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1）</w:t>
            </w:r>
            <w:r>
              <w:rPr>
                <w:rFonts w:hint="eastAsia" w:ascii="宋体" w:hAnsi="宋体" w:eastAsia="宋体" w:cs="宋体"/>
                <w:sz w:val="18"/>
                <w:szCs w:val="18"/>
                <w:lang w:val="zh-CN"/>
              </w:rPr>
              <w:t>投标人</w:t>
            </w:r>
            <w:r>
              <w:rPr>
                <w:rFonts w:hint="eastAsia" w:ascii="宋体" w:hAnsi="宋体" w:eastAsia="宋体" w:cs="宋体"/>
                <w:sz w:val="18"/>
                <w:szCs w:val="18"/>
              </w:rPr>
              <w:t>具有</w:t>
            </w:r>
            <w:r>
              <w:rPr>
                <w:rFonts w:hint="eastAsia" w:ascii="宋体" w:hAnsi="宋体" w:cs="宋体"/>
                <w:sz w:val="18"/>
                <w:szCs w:val="18"/>
              </w:rPr>
              <w:t>工程造价咨询甲级，得</w:t>
            </w:r>
            <w:r>
              <w:rPr>
                <w:rFonts w:hint="eastAsia" w:ascii="宋体" w:hAnsi="宋体" w:cs="宋体"/>
                <w:b/>
                <w:bCs/>
                <w:sz w:val="18"/>
                <w:szCs w:val="18"/>
              </w:rPr>
              <w:t>8</w:t>
            </w:r>
            <w:r>
              <w:rPr>
                <w:rFonts w:hint="eastAsia" w:ascii="宋体" w:hAnsi="宋体" w:cs="宋体"/>
                <w:sz w:val="18"/>
                <w:szCs w:val="18"/>
              </w:rPr>
              <w:t>分；造价咨询乙级，得</w:t>
            </w:r>
            <w:r>
              <w:rPr>
                <w:rFonts w:hint="eastAsia" w:ascii="宋体" w:hAnsi="宋体" w:cs="宋体"/>
                <w:b/>
                <w:bCs/>
                <w:sz w:val="18"/>
                <w:szCs w:val="18"/>
                <w:lang w:val="en-US" w:eastAsia="zh-CN"/>
              </w:rPr>
              <w:t>4</w:t>
            </w:r>
            <w:r>
              <w:rPr>
                <w:rFonts w:hint="eastAsia" w:ascii="宋体" w:hAnsi="宋体" w:cs="宋体"/>
                <w:sz w:val="18"/>
                <w:szCs w:val="18"/>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napToGrid w:val="0"/>
                <w:sz w:val="18"/>
                <w:szCs w:val="18"/>
              </w:rPr>
            </w:pPr>
            <w:r>
              <w:rPr>
                <w:rFonts w:hint="eastAsia" w:ascii="宋体" w:hAnsi="宋体" w:cs="宋体"/>
                <w:snapToGrid w:val="0"/>
                <w:sz w:val="18"/>
                <w:szCs w:val="18"/>
              </w:rPr>
              <w:t>2）</w:t>
            </w:r>
            <w:r>
              <w:rPr>
                <w:rFonts w:hint="eastAsia" w:ascii="宋体" w:hAnsi="宋体" w:eastAsia="宋体" w:cs="宋体"/>
                <w:sz w:val="18"/>
                <w:szCs w:val="18"/>
                <w:lang w:val="zh-CN"/>
              </w:rPr>
              <w:t>投标人</w:t>
            </w:r>
            <w:r>
              <w:rPr>
                <w:rFonts w:hint="eastAsia" w:ascii="宋体" w:hAnsi="宋体" w:cs="宋体"/>
                <w:snapToGrid w:val="0"/>
                <w:sz w:val="18"/>
                <w:szCs w:val="18"/>
              </w:rPr>
              <w:t>营业执照经营范围包含工程监理的得</w:t>
            </w:r>
            <w:r>
              <w:rPr>
                <w:rFonts w:hint="eastAsia" w:ascii="宋体" w:hAnsi="宋体" w:cs="宋体"/>
                <w:b/>
                <w:bCs/>
                <w:snapToGrid w:val="0"/>
                <w:sz w:val="18"/>
                <w:szCs w:val="18"/>
              </w:rPr>
              <w:t>5</w:t>
            </w:r>
            <w:r>
              <w:rPr>
                <w:rFonts w:hint="eastAsia" w:ascii="宋体" w:hAnsi="宋体" w:cs="宋体"/>
                <w:snapToGrid w:val="0"/>
                <w:sz w:val="18"/>
                <w:szCs w:val="18"/>
              </w:rPr>
              <w:t>分，没有不得分。</w:t>
            </w:r>
          </w:p>
          <w:p>
            <w:pPr>
              <w:keepNext w:val="0"/>
              <w:keepLines w:val="0"/>
              <w:pageBreakBefore w:val="0"/>
              <w:widowControl w:val="0"/>
              <w:kinsoku/>
              <w:wordWrap/>
              <w:overflowPunct/>
              <w:topLinePunct w:val="0"/>
              <w:autoSpaceDE/>
              <w:autoSpaceDN/>
              <w:bidi w:val="0"/>
              <w:adjustRightInd/>
              <w:snapToGrid/>
              <w:spacing w:line="240" w:lineRule="exact"/>
              <w:ind w:left="180" w:hanging="180" w:hangingChars="100"/>
              <w:jc w:val="left"/>
              <w:textAlignment w:val="auto"/>
              <w:rPr>
                <w:rFonts w:ascii="宋体" w:hAnsi="宋体" w:cs="宋体"/>
                <w:snapToGrid w:val="0"/>
                <w:sz w:val="18"/>
                <w:szCs w:val="18"/>
              </w:rPr>
            </w:pPr>
            <w:r>
              <w:rPr>
                <w:rFonts w:hint="eastAsia" w:ascii="宋体" w:hAnsi="宋体" w:cs="宋体"/>
                <w:sz w:val="18"/>
                <w:szCs w:val="18"/>
              </w:rPr>
              <w:t>3）</w:t>
            </w:r>
            <w:r>
              <w:rPr>
                <w:rFonts w:hint="eastAsia" w:ascii="宋体" w:hAnsi="宋体" w:eastAsia="宋体" w:cs="宋体"/>
                <w:sz w:val="18"/>
                <w:szCs w:val="18"/>
                <w:lang w:val="zh-CN"/>
              </w:rPr>
              <w:t>投标人在省级工程造价管理协会评定的“工程造价咨询企业信用等级”，</w:t>
            </w:r>
            <w:r>
              <w:rPr>
                <w:rFonts w:hint="eastAsia" w:ascii="宋体" w:hAnsi="宋体" w:eastAsia="宋体" w:cs="宋体"/>
                <w:sz w:val="18"/>
                <w:szCs w:val="18"/>
              </w:rPr>
              <w:t>被评为AA</w:t>
            </w:r>
            <w:r>
              <w:rPr>
                <w:rFonts w:hint="eastAsia" w:ascii="宋体" w:hAnsi="宋体" w:eastAsia="宋体" w:cs="宋体"/>
                <w:sz w:val="18"/>
                <w:szCs w:val="18"/>
                <w:lang w:val="zh-CN"/>
              </w:rPr>
              <w:t>AAA级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AAA） 的</w:t>
            </w:r>
            <w:r>
              <w:rPr>
                <w:rFonts w:hint="eastAsia" w:ascii="宋体" w:hAnsi="宋体" w:eastAsia="宋体" w:cs="宋体"/>
                <w:sz w:val="18"/>
                <w:szCs w:val="18"/>
                <w:lang w:val="zh-CN"/>
              </w:rPr>
              <w:t>得</w:t>
            </w:r>
            <w:r>
              <w:rPr>
                <w:rFonts w:hint="eastAsia" w:ascii="宋体" w:hAnsi="宋体" w:eastAsia="宋体" w:cs="宋体"/>
                <w:b/>
                <w:bCs/>
                <w:sz w:val="18"/>
                <w:szCs w:val="18"/>
              </w:rPr>
              <w:t>5</w:t>
            </w:r>
            <w:r>
              <w:rPr>
                <w:rFonts w:hint="eastAsia" w:ascii="宋体" w:hAnsi="宋体" w:eastAsia="宋体" w:cs="宋体"/>
                <w:sz w:val="18"/>
                <w:szCs w:val="18"/>
                <w:lang w:val="zh-CN"/>
              </w:rPr>
              <w:t>分；</w:t>
            </w:r>
            <w:r>
              <w:rPr>
                <w:rFonts w:hint="eastAsia" w:ascii="宋体" w:hAnsi="宋体" w:eastAsia="宋体" w:cs="宋体"/>
                <w:sz w:val="18"/>
                <w:szCs w:val="18"/>
              </w:rPr>
              <w:t>AA</w:t>
            </w:r>
            <w:r>
              <w:rPr>
                <w:rFonts w:hint="eastAsia" w:ascii="宋体" w:hAnsi="宋体" w:eastAsia="宋体" w:cs="宋体"/>
                <w:sz w:val="18"/>
                <w:szCs w:val="18"/>
                <w:lang w:val="zh-CN"/>
              </w:rPr>
              <w:t>AA</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w:t>
            </w:r>
            <w:r>
              <w:rPr>
                <w:rFonts w:hint="eastAsia" w:ascii="宋体" w:hAnsi="宋体" w:eastAsia="宋体" w:cs="宋体"/>
                <w:sz w:val="18"/>
                <w:szCs w:val="18"/>
                <w:lang w:val="zh-CN"/>
              </w:rPr>
              <w:t>级得</w:t>
            </w:r>
            <w:r>
              <w:rPr>
                <w:rFonts w:hint="eastAsia" w:ascii="宋体" w:hAnsi="宋体" w:eastAsia="宋体" w:cs="宋体"/>
                <w:b/>
                <w:bCs/>
                <w:sz w:val="18"/>
                <w:szCs w:val="18"/>
              </w:rPr>
              <w:t>3</w:t>
            </w:r>
            <w:r>
              <w:rPr>
                <w:rFonts w:hint="eastAsia" w:ascii="宋体" w:hAnsi="宋体" w:eastAsia="宋体" w:cs="宋体"/>
                <w:sz w:val="18"/>
                <w:szCs w:val="18"/>
                <w:lang w:val="zh-CN"/>
              </w:rPr>
              <w:t>分；</w:t>
            </w:r>
            <w:r>
              <w:rPr>
                <w:rFonts w:hint="eastAsia" w:ascii="宋体" w:hAnsi="宋体" w:eastAsia="宋体" w:cs="宋体"/>
                <w:sz w:val="18"/>
                <w:szCs w:val="18"/>
              </w:rPr>
              <w:t>A</w:t>
            </w:r>
            <w:r>
              <w:rPr>
                <w:rFonts w:hint="eastAsia" w:ascii="宋体" w:hAnsi="宋体" w:eastAsia="宋体" w:cs="宋体"/>
                <w:sz w:val="18"/>
                <w:szCs w:val="18"/>
                <w:lang w:val="zh-CN"/>
              </w:rPr>
              <w:t>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w:t>
            </w:r>
            <w:r>
              <w:rPr>
                <w:rFonts w:hint="eastAsia" w:ascii="宋体" w:hAnsi="宋体" w:eastAsia="宋体" w:cs="宋体"/>
                <w:sz w:val="18"/>
                <w:szCs w:val="18"/>
                <w:lang w:val="zh-CN"/>
              </w:rPr>
              <w:t>得</w:t>
            </w:r>
            <w:r>
              <w:rPr>
                <w:rFonts w:hint="eastAsia" w:ascii="宋体" w:hAnsi="宋体" w:eastAsia="宋体" w:cs="宋体"/>
                <w:b/>
                <w:bCs/>
                <w:sz w:val="18"/>
                <w:szCs w:val="18"/>
              </w:rPr>
              <w:t>1</w:t>
            </w:r>
            <w:r>
              <w:rPr>
                <w:rFonts w:hint="eastAsia" w:ascii="宋体" w:hAnsi="宋体" w:eastAsia="宋体" w:cs="宋体"/>
                <w:sz w:val="18"/>
                <w:szCs w:val="18"/>
                <w:lang w:val="zh-CN"/>
              </w:rPr>
              <w:t>分</w:t>
            </w:r>
            <w:r>
              <w:rPr>
                <w:rFonts w:hint="eastAsia" w:ascii="宋体" w:hAnsi="宋体" w:cs="宋体"/>
                <w:sz w:val="18"/>
                <w:szCs w:val="18"/>
              </w:rPr>
              <w:t>；</w:t>
            </w:r>
            <w:r>
              <w:rPr>
                <w:rFonts w:hint="eastAsia" w:ascii="宋体" w:hAnsi="宋体" w:eastAsia="宋体" w:cs="宋体"/>
                <w:sz w:val="18"/>
                <w:szCs w:val="18"/>
              </w:rPr>
              <w:t>其余不得分</w:t>
            </w:r>
            <w:r>
              <w:rPr>
                <w:rFonts w:hint="eastAsia" w:ascii="宋体" w:hAnsi="宋体" w:cs="宋体"/>
                <w:sz w:val="18"/>
                <w:szCs w:val="18"/>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4）</w:t>
            </w:r>
            <w:r>
              <w:rPr>
                <w:rFonts w:hint="eastAsia" w:ascii="宋体" w:hAnsi="宋体" w:eastAsia="宋体" w:cs="宋体"/>
                <w:sz w:val="18"/>
                <w:szCs w:val="18"/>
                <w:lang w:val="zh-CN"/>
              </w:rPr>
              <w:t>投标人</w:t>
            </w:r>
            <w:r>
              <w:rPr>
                <w:rFonts w:hint="eastAsia" w:ascii="宋体" w:hAnsi="宋体" w:eastAsia="宋体" w:cs="宋体"/>
                <w:sz w:val="18"/>
                <w:szCs w:val="18"/>
              </w:rPr>
              <w:t>具有在有效期内的ISO9001质量管理体系认证证书</w:t>
            </w:r>
            <w:r>
              <w:rPr>
                <w:rFonts w:hint="eastAsia" w:ascii="宋体" w:hAnsi="宋体" w:cs="宋体"/>
                <w:sz w:val="18"/>
                <w:szCs w:val="18"/>
              </w:rPr>
              <w:t>得</w:t>
            </w:r>
            <w:r>
              <w:rPr>
                <w:rFonts w:hint="eastAsia" w:ascii="宋体" w:hAnsi="宋体" w:cs="宋体"/>
                <w:b/>
                <w:bCs/>
                <w:sz w:val="18"/>
                <w:szCs w:val="18"/>
              </w:rPr>
              <w:t>2</w:t>
            </w:r>
            <w:r>
              <w:rPr>
                <w:rFonts w:hint="eastAsia" w:ascii="宋体" w:hAnsi="宋体" w:cs="宋体"/>
                <w:sz w:val="18"/>
                <w:szCs w:val="18"/>
              </w:rPr>
              <w:t>分</w:t>
            </w:r>
            <w:r>
              <w:rPr>
                <w:rFonts w:hint="eastAsia" w:ascii="宋体" w:hAnsi="宋体" w:cs="宋体"/>
                <w:snapToGrid w:val="0"/>
                <w:sz w:val="18"/>
                <w:szCs w:val="18"/>
              </w:rPr>
              <w:t>，没有不得分。（以上提供相关证明材料复印件并加盖单位公章）。</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三</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项目组成员</w:t>
            </w:r>
          </w:p>
        </w:tc>
        <w:tc>
          <w:tcPr>
            <w:tcW w:w="510" w:type="dxa"/>
            <w:vMerge w:val="restart"/>
            <w:tcBorders>
              <w:top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15</w:t>
            </w:r>
          </w:p>
        </w:tc>
        <w:tc>
          <w:tcPr>
            <w:tcW w:w="624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w:t>
            </w:r>
            <w:r>
              <w:rPr>
                <w:rFonts w:hint="eastAsia" w:ascii="宋体" w:hAnsi="宋体" w:cs="宋体"/>
                <w:sz w:val="18"/>
                <w:szCs w:val="18"/>
                <w:lang w:val="zh-CN"/>
              </w:rPr>
              <w:t>投标人</w:t>
            </w:r>
            <w:r>
              <w:rPr>
                <w:rFonts w:hint="eastAsia" w:ascii="宋体" w:hAnsi="宋体" w:cs="宋体"/>
                <w:sz w:val="18"/>
                <w:szCs w:val="18"/>
              </w:rPr>
              <w:t>针对本项目拟投入的项目负责人具有国家注册造价工程师执业资格证书的得</w:t>
            </w:r>
            <w:r>
              <w:rPr>
                <w:rFonts w:hint="eastAsia" w:ascii="宋体" w:hAnsi="宋体" w:cs="宋体"/>
                <w:b/>
                <w:bCs/>
                <w:sz w:val="18"/>
                <w:szCs w:val="18"/>
              </w:rPr>
              <w:t>3</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w:t>
            </w:r>
            <w:r>
              <w:rPr>
                <w:rFonts w:hint="eastAsia" w:ascii="宋体" w:hAnsi="宋体" w:cs="宋体"/>
                <w:sz w:val="18"/>
                <w:szCs w:val="18"/>
                <w:lang w:val="zh-CN"/>
              </w:rPr>
              <w:t>投标人</w:t>
            </w:r>
            <w:r>
              <w:rPr>
                <w:rFonts w:hint="eastAsia" w:ascii="宋体" w:hAnsi="宋体" w:cs="宋体"/>
                <w:sz w:val="18"/>
                <w:szCs w:val="18"/>
              </w:rPr>
              <w:t>针对本项目拟投入的项目负责人具有高级工程师（含）以上职称的得</w:t>
            </w:r>
            <w:r>
              <w:rPr>
                <w:rFonts w:hint="eastAsia" w:ascii="宋体" w:hAnsi="宋体" w:cs="宋体"/>
                <w:b/>
                <w:bCs/>
                <w:sz w:val="18"/>
                <w:szCs w:val="18"/>
              </w:rPr>
              <w:t>3</w:t>
            </w:r>
            <w:r>
              <w:rPr>
                <w:rFonts w:hint="eastAsia" w:ascii="宋体" w:hAnsi="宋体" w:cs="宋体"/>
                <w:sz w:val="18"/>
                <w:szCs w:val="18"/>
              </w:rPr>
              <w:t>分，具有工程师职称的得</w:t>
            </w:r>
            <w:r>
              <w:rPr>
                <w:rFonts w:hint="eastAsia" w:ascii="宋体" w:hAnsi="宋体" w:cs="宋体"/>
                <w:b/>
                <w:bCs/>
                <w:sz w:val="18"/>
                <w:szCs w:val="18"/>
              </w:rPr>
              <w:t>1</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（以上提供相关证明材料复印件并加盖单位公章）</w:t>
            </w:r>
          </w:p>
        </w:tc>
        <w:tc>
          <w:tcPr>
            <w:tcW w:w="467" w:type="dxa"/>
            <w:tcBorders>
              <w:left w:val="single" w:color="auto" w:sz="4" w:space="0"/>
            </w:tcBorders>
            <w:noWrap/>
            <w:vAlign w:val="center"/>
          </w:tcPr>
          <w:p>
            <w:pPr>
              <w:spacing w:after="156" w:line="280" w:lineRule="exact"/>
              <w:jc w:val="center"/>
              <w:rPr>
                <w:rFonts w:ascii="宋体" w:hAnsi="宋体" w:cs="宋体"/>
                <w:sz w:val="18"/>
                <w:szCs w:val="18"/>
              </w:rPr>
            </w:pPr>
            <w:r>
              <w:rPr>
                <w:rFonts w:hint="eastAsia" w:ascii="宋体" w:hAnsi="宋体" w:cs="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458" w:type="dxa"/>
            <w:vMerge w:val="continue"/>
            <w:noWrap/>
            <w:vAlign w:val="center"/>
          </w:tcPr>
          <w:p>
            <w:pPr>
              <w:spacing w:after="156" w:line="280" w:lineRule="exact"/>
              <w:jc w:val="left"/>
              <w:rPr>
                <w:rFonts w:hint="eastAsia" w:ascii="宋体" w:hAnsi="宋体" w:cs="宋体"/>
                <w:sz w:val="18"/>
                <w:szCs w:val="18"/>
              </w:rPr>
            </w:pPr>
          </w:p>
        </w:tc>
        <w:tc>
          <w:tcPr>
            <w:tcW w:w="585" w:type="dxa"/>
            <w:vMerge w:val="continue"/>
            <w:noWrap/>
            <w:vAlign w:val="center"/>
          </w:tcPr>
          <w:p>
            <w:pPr>
              <w:spacing w:after="156" w:line="280" w:lineRule="exact"/>
              <w:jc w:val="left"/>
              <w:rPr>
                <w:rFonts w:hint="eastAsia" w:ascii="宋体" w:hAnsi="宋体" w:cs="宋体"/>
                <w:sz w:val="18"/>
                <w:szCs w:val="18"/>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项目组成员要求有5人以上组成（不含项目负责人），其中具有注册造价工程师（或注册监理工程师、注册建筑工程师、注册结构工程师）的，每1名可得3分，最高可得</w:t>
            </w:r>
            <w:r>
              <w:rPr>
                <w:rFonts w:hint="eastAsia" w:ascii="宋体" w:hAnsi="宋体" w:cs="宋体"/>
                <w:b/>
                <w:bCs/>
                <w:sz w:val="18"/>
                <w:szCs w:val="18"/>
              </w:rPr>
              <w:t>9</w:t>
            </w:r>
            <w:r>
              <w:rPr>
                <w:rFonts w:hint="eastAsia" w:ascii="宋体" w:hAnsi="宋体" w:cs="宋体"/>
                <w:sz w:val="18"/>
                <w:szCs w:val="18"/>
              </w:rPr>
              <w:t>分。（提供相关证明材料复印件并加盖单位公章）</w:t>
            </w:r>
          </w:p>
        </w:tc>
        <w:tc>
          <w:tcPr>
            <w:tcW w:w="467" w:type="dxa"/>
            <w:noWrap/>
            <w:vAlign w:val="center"/>
          </w:tcPr>
          <w:p>
            <w:pPr>
              <w:spacing w:after="156" w:line="280" w:lineRule="exact"/>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四</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项目实施方案</w:t>
            </w:r>
          </w:p>
        </w:tc>
        <w:tc>
          <w:tcPr>
            <w:tcW w:w="510" w:type="dxa"/>
            <w:vMerge w:val="restart"/>
            <w:noWrap/>
            <w:vAlign w:val="center"/>
          </w:tcPr>
          <w:p>
            <w:pPr>
              <w:spacing w:after="156"/>
              <w:jc w:val="center"/>
              <w:rPr>
                <w:rFonts w:ascii="宋体" w:hAnsi="宋体" w:cs="宋体"/>
                <w:szCs w:val="21"/>
              </w:rPr>
            </w:pPr>
            <w:r>
              <w:rPr>
                <w:rFonts w:hint="eastAsia" w:ascii="宋体" w:hAnsi="宋体" w:cs="宋体"/>
                <w:szCs w:val="21"/>
              </w:rPr>
              <w:t>45</w:t>
            </w: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1、项目实施的组织机构、项目组成员、工作内容、方法等，满分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val="en-US"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对咨询工作提供的实施方案（包括但不限于服务目标、施工方案优化、清单和控制价编制、过程质量督查、对接审计资料等服务内容）进行综合评分，上述方案全面合理、科学可行，完全契合项目需求且具有针对性，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3、针对零星项目委托内容的特点、关键问题的认识及其对策措施、重难点解决方案以及合理化建议进行打分，满分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bl>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2"/>
        <w:spacing w:after="319"/>
        <w:rPr>
          <w:rFonts w:ascii="楷体" w:hAnsi="楷体" w:eastAsia="楷体" w:cs="楷体"/>
        </w:rPr>
      </w:pPr>
      <w:bookmarkStart w:id="79" w:name="_Toc11504"/>
      <w:r>
        <w:rPr>
          <w:rFonts w:hint="eastAsia" w:ascii="楷体" w:hAnsi="楷体" w:eastAsia="楷体" w:cs="楷体"/>
        </w:rPr>
        <w:t>第五章  磋商响应文件格式</w:t>
      </w:r>
      <w:bookmarkEnd w:id="79"/>
    </w:p>
    <w:bookmarkEnd w:id="55"/>
    <w:bookmarkEnd w:id="56"/>
    <w:bookmarkEnd w:id="57"/>
    <w:bookmarkEnd w:id="70"/>
    <w:bookmarkEnd w:id="71"/>
    <w:bookmarkEnd w:id="72"/>
    <w:p>
      <w:pPr>
        <w:jc w:val="center"/>
        <w:rPr>
          <w:rFonts w:ascii="楷体" w:hAnsi="楷体" w:eastAsia="楷体" w:cs="楷体"/>
          <w:b/>
          <w:bCs/>
          <w:sz w:val="72"/>
          <w:szCs w:val="72"/>
        </w:rPr>
      </w:pPr>
      <w:bookmarkStart w:id="80" w:name="_Toc120614282"/>
      <w:bookmarkStart w:id="81" w:name="_Toc26554094"/>
      <w:bookmarkStart w:id="82" w:name="_Toc49090576"/>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jc w:val="distribute"/>
        <w:rPr>
          <w:rFonts w:hint="eastAsia" w:ascii="楷体" w:hAnsi="楷体" w:eastAsia="楷体" w:cs="楷体"/>
          <w:b/>
          <w:bCs/>
          <w:w w:val="80"/>
          <w:sz w:val="32"/>
          <w:szCs w:val="36"/>
          <w:lang w:eastAsia="zh-CN"/>
        </w:rPr>
      </w:pPr>
      <w:r>
        <w:rPr>
          <w:rFonts w:hint="eastAsia" w:ascii="楷体" w:hAnsi="楷体" w:eastAsia="楷体" w:cs="楷体"/>
          <w:b/>
          <w:bCs/>
          <w:sz w:val="32"/>
          <w:szCs w:val="36"/>
        </w:rPr>
        <w:t>项目名称：</w:t>
      </w:r>
      <w:r>
        <w:rPr>
          <w:rFonts w:hint="eastAsia" w:ascii="楷体" w:hAnsi="楷体" w:eastAsia="楷体" w:cs="楷体"/>
          <w:b/>
          <w:bCs/>
          <w:w w:val="80"/>
          <w:sz w:val="32"/>
          <w:szCs w:val="36"/>
        </w:rPr>
        <w:t xml:space="preserve">南京交通职业技术学院 </w:t>
      </w:r>
      <w:r>
        <w:rPr>
          <w:rFonts w:hint="eastAsia" w:ascii="楷体" w:hAnsi="楷体" w:eastAsia="楷体" w:cs="楷体"/>
          <w:b/>
          <w:bCs/>
          <w:w w:val="80"/>
          <w:sz w:val="32"/>
          <w:szCs w:val="36"/>
          <w:lang w:eastAsia="zh-CN"/>
        </w:rPr>
        <w:t>2021年零星项目咨询服务采购</w:t>
      </w:r>
    </w:p>
    <w:p>
      <w:pPr>
        <w:ind w:left="1923" w:leftChars="304" w:hanging="1285" w:hangingChars="400"/>
        <w:rPr>
          <w:rFonts w:ascii="楷体" w:hAnsi="楷体" w:eastAsia="楷体" w:cs="楷体"/>
          <w:b/>
          <w:bCs/>
          <w:color w:val="FF0000"/>
          <w:sz w:val="32"/>
          <w:szCs w:val="36"/>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JY2021055</w:t>
      </w:r>
      <w:r>
        <w:rPr>
          <w:rFonts w:hint="eastAsia" w:ascii="楷体" w:hAnsi="楷体" w:eastAsia="楷体" w:cs="楷体"/>
          <w:b/>
          <w:bCs/>
          <w:sz w:val="32"/>
          <w:szCs w:val="36"/>
        </w:rPr>
        <w:t xml:space="preserve"> </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83" w:name="_Toc449017027"/>
    </w:p>
    <w:bookmarkEnd w:id="58"/>
    <w:bookmarkEnd w:id="59"/>
    <w:bookmarkEnd w:id="80"/>
    <w:bookmarkEnd w:id="81"/>
    <w:bookmarkEnd w:id="82"/>
    <w:bookmarkEnd w:id="83"/>
    <w:p>
      <w:pPr>
        <w:pStyle w:val="39"/>
        <w:numPr>
          <w:ilvl w:val="0"/>
          <w:numId w:val="0"/>
        </w:numPr>
        <w:jc w:val="center"/>
        <w:rPr>
          <w:rFonts w:ascii="楷体" w:hAnsi="楷体" w:eastAsia="楷体" w:cs="楷体"/>
        </w:rPr>
      </w:pPr>
      <w:bookmarkStart w:id="84" w:name="_Toc25957"/>
      <w:bookmarkStart w:id="85" w:name="_Toc14521"/>
      <w:bookmarkStart w:id="86" w:name="_Toc13734"/>
      <w:bookmarkStart w:id="87" w:name="_Toc10735"/>
      <w:r>
        <w:rPr>
          <w:rFonts w:hint="eastAsia" w:ascii="楷体" w:hAnsi="楷体" w:eastAsia="楷体" w:cs="楷体"/>
        </w:rPr>
        <w:t>一、磋商函</w:t>
      </w:r>
      <w:bookmarkEnd w:id="84"/>
      <w:bookmarkEnd w:id="85"/>
      <w:bookmarkEnd w:id="86"/>
      <w:bookmarkEnd w:id="87"/>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rPr>
        <w:t xml:space="preserve">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8" w:name="_Toc27417"/>
      <w:bookmarkStart w:id="89" w:name="_Toc2237"/>
    </w:p>
    <w:p>
      <w:pPr>
        <w:pStyle w:val="2"/>
        <w:rPr>
          <w:rFonts w:hint="eastAsia" w:eastAsia="楷体"/>
          <w:lang w:val="en-US" w:eastAsia="zh-CN"/>
        </w:rPr>
      </w:pPr>
      <w:r>
        <w:rPr>
          <w:rFonts w:hint="eastAsia" w:ascii="楷体" w:hAnsi="楷体" w:eastAsia="楷体" w:cs="楷体"/>
          <w:sz w:val="24"/>
          <w:szCs w:val="24"/>
          <w:lang w:val="en-US" w:eastAsia="zh-CN"/>
        </w:rPr>
        <w:t>.</w:t>
      </w:r>
    </w:p>
    <w:bookmarkEnd w:id="88"/>
    <w:bookmarkEnd w:id="89"/>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39"/>
        <w:numPr>
          <w:ilvl w:val="0"/>
          <w:numId w:val="0"/>
        </w:numPr>
        <w:jc w:val="center"/>
        <w:rPr>
          <w:rFonts w:hint="eastAsia" w:ascii="楷体" w:hAnsi="楷体" w:eastAsia="楷体" w:cs="楷体"/>
        </w:rPr>
      </w:pPr>
      <w:bookmarkStart w:id="90" w:name="_Toc4264"/>
      <w:bookmarkStart w:id="91" w:name="_Toc1052"/>
      <w:r>
        <w:rPr>
          <w:rFonts w:hint="eastAsia" w:ascii="楷体" w:hAnsi="楷体" w:eastAsia="楷体" w:cs="楷体"/>
        </w:rPr>
        <w:t>二、报价表</w:t>
      </w:r>
      <w:bookmarkEnd w:id="90"/>
      <w:bookmarkEnd w:id="91"/>
    </w:p>
    <w:p>
      <w:pPr>
        <w:pStyle w:val="2"/>
        <w:ind w:firstLine="210"/>
      </w:pPr>
    </w:p>
    <w:tbl>
      <w:tblPr>
        <w:tblStyle w:val="23"/>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 xml:space="preserve">南京交通职业技术学院 </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eastAsia" w:ascii="楷体" w:hAnsi="楷体" w:eastAsia="楷体" w:cs="楷体"/>
                <w:sz w:val="24"/>
                <w:szCs w:val="24"/>
                <w:lang w:val="en-US" w:eastAsia="zh-CN"/>
              </w:rPr>
            </w:pPr>
            <w:r>
              <w:rPr>
                <w:rFonts w:hint="eastAsia" w:ascii="楷体" w:hAnsi="楷体" w:eastAsia="楷体" w:cs="楷体"/>
                <w:b/>
                <w:bCs/>
                <w:sz w:val="24"/>
                <w:szCs w:val="24"/>
                <w:lang w:eastAsia="zh-CN"/>
              </w:rPr>
              <w:t>JY2021055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adjustRightInd w:val="0"/>
              <w:snapToGrid w:val="0"/>
              <w:spacing w:line="360" w:lineRule="auto"/>
              <w:jc w:val="center"/>
              <w:rPr>
                <w:rFonts w:hint="eastAsia" w:ascii="楷体" w:hAnsi="楷体" w:eastAsia="楷体" w:cs="楷体"/>
                <w:sz w:val="24"/>
                <w:szCs w:val="24"/>
                <w:lang w:val="en-US" w:eastAsia="zh-CN"/>
              </w:rPr>
            </w:pPr>
            <w:r>
              <w:rPr>
                <w:rFonts w:hint="eastAsia" w:ascii="楷体" w:hAnsi="楷体" w:eastAsia="楷体" w:cs="楷体"/>
                <w:sz w:val="24"/>
                <w:szCs w:val="24"/>
              </w:rPr>
              <w:t>报价</w:t>
            </w:r>
            <w:r>
              <w:rPr>
                <w:rFonts w:hint="eastAsia" w:ascii="楷体" w:hAnsi="楷体" w:eastAsia="楷体" w:cs="楷体"/>
                <w:sz w:val="24"/>
                <w:szCs w:val="24"/>
                <w:lang w:val="en-US" w:eastAsia="zh-CN"/>
              </w:rPr>
              <w:t>下浮</w:t>
            </w:r>
            <w:r>
              <w:rPr>
                <w:rFonts w:hint="eastAsia" w:ascii="楷体" w:hAnsi="楷体" w:eastAsia="楷体" w:cs="楷体"/>
                <w:sz w:val="24"/>
                <w:szCs w:val="24"/>
              </w:rPr>
              <w:t>：</w:t>
            </w:r>
            <w:r>
              <w:rPr>
                <w:rFonts w:hint="eastAsia" w:ascii="楷体" w:hAnsi="楷体" w:eastAsia="楷体" w:cs="楷体"/>
                <w:sz w:val="24"/>
                <w:szCs w:val="24"/>
                <w:u w:val="single"/>
              </w:rPr>
              <w:t>　　        　 </w:t>
            </w:r>
            <w:r>
              <w:rPr>
                <w:rFonts w:hint="eastAsia" w:ascii="楷体" w:hAnsi="楷体" w:eastAsia="楷体" w:cs="楷体"/>
                <w:sz w:val="24"/>
                <w:szCs w:val="24"/>
              </w:rPr>
              <w:t xml:space="preserve"> </w:t>
            </w:r>
            <w:r>
              <w:rPr>
                <w:rFonts w:hint="eastAsia" w:ascii="楷体" w:hAnsi="楷体" w:eastAsia="楷体" w:cs="楷体"/>
                <w:sz w:val="24"/>
                <w:szCs w:val="24"/>
                <w:lang w:val="en-US" w:eastAsia="zh-CN"/>
              </w:rPr>
              <w:t>%</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92" w:name="_Toc6890"/>
      <w:bookmarkStart w:id="93" w:name="_Toc818"/>
      <w:bookmarkStart w:id="94" w:name="_Toc12366"/>
      <w:bookmarkStart w:id="95"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39"/>
        <w:numPr>
          <w:ilvl w:val="0"/>
          <w:numId w:val="0"/>
        </w:numPr>
        <w:jc w:val="center"/>
        <w:outlineLvl w:val="9"/>
        <w:rPr>
          <w:rFonts w:hint="eastAsia" w:ascii="楷体" w:hAnsi="楷体" w:eastAsia="楷体" w:cs="楷体"/>
        </w:rPr>
      </w:pPr>
    </w:p>
    <w:bookmarkEnd w:id="92"/>
    <w:p>
      <w:pPr>
        <w:pStyle w:val="39"/>
        <w:numPr>
          <w:ilvl w:val="0"/>
          <w:numId w:val="0"/>
        </w:numPr>
        <w:jc w:val="center"/>
        <w:rPr>
          <w:rFonts w:hint="eastAsia" w:ascii="楷体" w:hAnsi="楷体" w:eastAsia="楷体" w:cs="楷体"/>
        </w:rPr>
      </w:pPr>
      <w:bookmarkStart w:id="96" w:name="_Toc1752"/>
      <w:bookmarkStart w:id="97" w:name="_Toc32133"/>
      <w:bookmarkStart w:id="98" w:name="_Toc8031"/>
      <w:bookmarkStart w:id="99" w:name="_Toc16074"/>
      <w:bookmarkStart w:id="100" w:name="_Toc351733250"/>
      <w:bookmarkStart w:id="101" w:name="_Toc365968485"/>
      <w:bookmarkStart w:id="102" w:name="_Toc448482858"/>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bookmarkStart w:id="103" w:name="_Toc6089"/>
      <w:r>
        <w:rPr>
          <w:rFonts w:hint="eastAsia" w:ascii="楷体" w:hAnsi="楷体" w:eastAsia="楷体" w:cs="楷体"/>
        </w:rPr>
        <w:t>三、服务要求响应表</w:t>
      </w:r>
      <w:bookmarkEnd w:id="96"/>
      <w:bookmarkEnd w:id="97"/>
      <w:bookmarkEnd w:id="98"/>
      <w:bookmarkEnd w:id="103"/>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39"/>
        <w:numPr>
          <w:ilvl w:val="0"/>
          <w:numId w:val="0"/>
        </w:numPr>
        <w:jc w:val="center"/>
        <w:rPr>
          <w:rFonts w:hint="eastAsia" w:ascii="楷体" w:hAnsi="楷体" w:eastAsia="楷体" w:cs="楷体"/>
        </w:rPr>
      </w:pPr>
      <w:bookmarkStart w:id="104" w:name="_Toc27516"/>
      <w:bookmarkStart w:id="105" w:name="_Toc29976"/>
      <w:r>
        <w:rPr>
          <w:rFonts w:hint="eastAsia" w:ascii="楷体" w:hAnsi="楷体" w:eastAsia="楷体" w:cs="楷体"/>
        </w:rPr>
        <w:t>四、服务方案</w:t>
      </w:r>
      <w:bookmarkEnd w:id="104"/>
      <w:bookmarkEnd w:id="105"/>
    </w:p>
    <w:p>
      <w:pPr>
        <w:jc w:val="center"/>
        <w:rPr>
          <w:rFonts w:hint="eastAsia" w:ascii="楷体" w:hAnsi="楷体" w:eastAsia="楷体" w:cs="楷体"/>
          <w:b/>
          <w:sz w:val="24"/>
        </w:rPr>
      </w:pPr>
      <w:r>
        <w:rPr>
          <w:rFonts w:hint="eastAsia" w:ascii="楷体" w:hAnsi="楷体" w:eastAsia="楷体" w:cs="楷体"/>
          <w:b/>
          <w:sz w:val="24"/>
        </w:rPr>
        <w:t>（格式自定）</w:t>
      </w:r>
    </w:p>
    <w:bookmarkEnd w:id="99"/>
    <w:bookmarkEnd w:id="100"/>
    <w:bookmarkEnd w:id="101"/>
    <w:bookmarkEnd w:id="102"/>
    <w:p>
      <w:pPr>
        <w:pStyle w:val="39"/>
        <w:numPr>
          <w:ilvl w:val="0"/>
          <w:numId w:val="0"/>
        </w:numPr>
        <w:jc w:val="center"/>
        <w:rPr>
          <w:rFonts w:hint="eastAsia" w:ascii="楷体" w:hAnsi="楷体" w:eastAsia="楷体" w:cs="楷体"/>
        </w:rPr>
      </w:pPr>
      <w:bookmarkStart w:id="106" w:name="_Toc25230"/>
      <w:bookmarkStart w:id="107" w:name="_Toc32325"/>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bookmarkEnd w:id="106"/>
    <w:bookmarkEnd w:id="107"/>
    <w:p>
      <w:pPr>
        <w:pStyle w:val="39"/>
        <w:numPr>
          <w:ilvl w:val="0"/>
          <w:numId w:val="0"/>
        </w:numPr>
        <w:jc w:val="center"/>
        <w:rPr>
          <w:rFonts w:hint="eastAsia" w:ascii="楷体" w:hAnsi="楷体" w:eastAsia="楷体" w:cs="楷体"/>
        </w:rPr>
      </w:pPr>
      <w:bookmarkStart w:id="108" w:name="_Toc25699"/>
      <w:bookmarkStart w:id="109" w:name="_Toc26771"/>
      <w:bookmarkStart w:id="110" w:name="_Toc5890"/>
      <w:bookmarkStart w:id="111" w:name="_Toc22357"/>
      <w:r>
        <w:rPr>
          <w:rFonts w:hint="eastAsia" w:ascii="楷体" w:hAnsi="楷体" w:eastAsia="楷体" w:cs="楷体"/>
        </w:rPr>
        <w:t>五、企业资质</w:t>
      </w:r>
      <w:bookmarkEnd w:id="108"/>
      <w:bookmarkEnd w:id="109"/>
      <w:bookmarkEnd w:id="110"/>
      <w:bookmarkEnd w:id="111"/>
    </w:p>
    <w:p>
      <w:pPr>
        <w:jc w:val="center"/>
        <w:rPr>
          <w:rFonts w:ascii="仿宋" w:hAnsi="仿宋" w:eastAsia="仿宋" w:cs="宋体"/>
          <w:b/>
          <w:color w:val="000000"/>
          <w:kern w:val="0"/>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rPr>
          <w:rFonts w:hint="eastAsia"/>
        </w:rPr>
      </w:pPr>
    </w:p>
    <w:p>
      <w:pPr>
        <w:pStyle w:val="39"/>
        <w:numPr>
          <w:ilvl w:val="0"/>
          <w:numId w:val="0"/>
        </w:numPr>
        <w:rPr>
          <w:rFonts w:hint="eastAsia" w:ascii="楷体" w:hAnsi="楷体" w:eastAsia="楷体" w:cs="楷体"/>
        </w:rPr>
      </w:pPr>
    </w:p>
    <w:p>
      <w:pPr>
        <w:pStyle w:val="39"/>
        <w:numPr>
          <w:ilvl w:val="0"/>
          <w:numId w:val="0"/>
        </w:numPr>
        <w:jc w:val="center"/>
        <w:rPr>
          <w:rFonts w:hint="eastAsia" w:ascii="楷体" w:hAnsi="楷体" w:eastAsia="楷体" w:cs="楷体"/>
          <w:b/>
          <w:bCs/>
        </w:rPr>
      </w:pPr>
      <w:bookmarkStart w:id="112" w:name="_Toc20453"/>
      <w:bookmarkStart w:id="113" w:name="_Toc14479"/>
      <w:r>
        <w:rPr>
          <w:rFonts w:hint="eastAsia" w:ascii="楷体" w:hAnsi="楷体" w:eastAsia="楷体" w:cs="楷体"/>
          <w:b/>
          <w:bCs/>
          <w:lang w:val="en-US" w:eastAsia="zh-CN"/>
        </w:rPr>
        <w:t>六、</w:t>
      </w:r>
      <w:r>
        <w:rPr>
          <w:rFonts w:hint="eastAsia" w:ascii="楷体" w:hAnsi="楷体" w:eastAsia="楷体" w:cs="楷体"/>
          <w:b/>
          <w:bCs/>
        </w:rPr>
        <w:t>相关附表格式</w:t>
      </w:r>
      <w:bookmarkEnd w:id="93"/>
      <w:bookmarkEnd w:id="94"/>
      <w:bookmarkEnd w:id="95"/>
      <w:bookmarkEnd w:id="112"/>
      <w:bookmarkEnd w:id="113"/>
      <w:bookmarkStart w:id="114" w:name="_Toc30587"/>
    </w:p>
    <w:p>
      <w:pPr>
        <w:pStyle w:val="39"/>
        <w:numPr>
          <w:ilvl w:val="0"/>
          <w:numId w:val="0"/>
        </w:numPr>
        <w:rPr>
          <w:rFonts w:hint="eastAsia" w:ascii="楷体" w:hAnsi="楷体" w:eastAsia="楷体" w:cs="楷体"/>
        </w:rPr>
      </w:pPr>
      <w:bookmarkStart w:id="115" w:name="_Toc13019"/>
      <w:bookmarkStart w:id="116" w:name="_Toc28944"/>
      <w:bookmarkStart w:id="117" w:name="_Toc22979"/>
      <w:r>
        <w:rPr>
          <w:rFonts w:hint="eastAsia" w:ascii="楷体" w:hAnsi="楷体" w:eastAsia="楷体" w:cs="楷体"/>
        </w:rPr>
        <w:t>附 件1：法人授权委托书</w:t>
      </w:r>
      <w:bookmarkEnd w:id="114"/>
      <w:bookmarkEnd w:id="115"/>
      <w:bookmarkEnd w:id="116"/>
      <w:bookmarkEnd w:id="117"/>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39"/>
        <w:numPr>
          <w:ilvl w:val="0"/>
          <w:numId w:val="0"/>
        </w:numPr>
        <w:jc w:val="center"/>
        <w:rPr>
          <w:rFonts w:hint="eastAsia" w:ascii="楷体" w:hAnsi="楷体" w:eastAsia="楷体" w:cs="楷体"/>
        </w:rPr>
      </w:pPr>
      <w:bookmarkStart w:id="118" w:name="_Toc30644"/>
      <w:r>
        <w:rPr>
          <w:rFonts w:hint="eastAsia" w:ascii="楷体" w:hAnsi="楷体" w:eastAsia="楷体" w:cs="楷体"/>
          <w:b w:val="0"/>
          <w:bCs w:val="0"/>
        </w:rPr>
        <w:br w:type="page"/>
      </w:r>
      <w:bookmarkEnd w:id="118"/>
      <w:bookmarkStart w:id="119" w:name="_Toc9521"/>
      <w:bookmarkStart w:id="120" w:name="_Toc27307"/>
      <w:bookmarkStart w:id="121" w:name="_Toc9284"/>
      <w:bookmarkStart w:id="122" w:name="_Toc20850"/>
      <w:bookmarkStart w:id="123"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9"/>
      <w:bookmarkEnd w:id="120"/>
      <w:bookmarkEnd w:id="121"/>
      <w:bookmarkEnd w:id="122"/>
    </w:p>
    <w:bookmarkEnd w:id="123"/>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39"/>
        <w:numPr>
          <w:ilvl w:val="0"/>
          <w:numId w:val="0"/>
        </w:numPr>
        <w:jc w:val="center"/>
        <w:rPr>
          <w:rFonts w:hint="eastAsia" w:ascii="楷体" w:hAnsi="楷体" w:eastAsia="楷体" w:cs="楷体"/>
        </w:rPr>
      </w:pPr>
      <w:r>
        <w:rPr>
          <w:rFonts w:hint="eastAsia" w:ascii="楷体" w:hAnsi="楷体" w:eastAsia="楷体" w:cs="楷体"/>
        </w:rPr>
        <w:br w:type="page"/>
      </w:r>
      <w:bookmarkStart w:id="124" w:name="_Toc18188"/>
      <w:bookmarkStart w:id="125" w:name="_Toc190"/>
      <w:bookmarkStart w:id="126" w:name="_Toc30482"/>
      <w:bookmarkStart w:id="127" w:name="_Toc26453"/>
      <w:bookmarkStart w:id="128" w:name="_Toc8873"/>
      <w:bookmarkStart w:id="129" w:name="_Toc10944"/>
      <w:bookmarkStart w:id="130" w:name="_Toc6836"/>
      <w:r>
        <w:rPr>
          <w:rFonts w:hint="eastAsia" w:ascii="楷体" w:hAnsi="楷体" w:eastAsia="楷体" w:cs="楷体"/>
        </w:rPr>
        <w:t>附 件</w:t>
      </w:r>
      <w:bookmarkEnd w:id="124"/>
      <w:bookmarkEnd w:id="125"/>
      <w:r>
        <w:rPr>
          <w:rFonts w:hint="eastAsia" w:ascii="楷体" w:hAnsi="楷体" w:eastAsia="楷体" w:cs="楷体"/>
          <w:lang w:val="en-US" w:eastAsia="zh-CN"/>
        </w:rPr>
        <w:t>3</w:t>
      </w:r>
      <w:r>
        <w:rPr>
          <w:rFonts w:hint="eastAsia" w:ascii="楷体" w:hAnsi="楷体" w:eastAsia="楷体" w:cs="楷体"/>
        </w:rPr>
        <w:t>：三年内无重大违纪声明</w:t>
      </w:r>
      <w:bookmarkEnd w:id="126"/>
      <w:bookmarkEnd w:id="127"/>
      <w:bookmarkEnd w:id="128"/>
      <w:bookmarkEnd w:id="129"/>
      <w:bookmarkEnd w:id="130"/>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39"/>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31" w:name="_Toc16683"/>
      <w:bookmarkStart w:id="132" w:name="_Toc4338"/>
      <w:bookmarkStart w:id="133" w:name="_Toc26218"/>
      <w:bookmarkStart w:id="134" w:name="_Toc10095"/>
      <w:bookmarkStart w:id="135"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31"/>
      <w:bookmarkEnd w:id="132"/>
      <w:bookmarkEnd w:id="133"/>
      <w:bookmarkEnd w:id="134"/>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5"/>
      <w:bookmarkStart w:id="136" w:name="_Toc11048"/>
      <w:bookmarkStart w:id="137" w:name="_Toc30780"/>
      <w:bookmarkStart w:id="138" w:name="_Toc10887"/>
      <w:bookmarkStart w:id="139" w:name="_Toc31660"/>
    </w:p>
    <w:bookmarkEnd w:id="136"/>
    <w:bookmarkEnd w:id="137"/>
    <w:bookmarkEnd w:id="138"/>
    <w:bookmarkEnd w:id="139"/>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sectPr>
      <w:headerReference r:id="rId9" w:type="default"/>
      <w:footerReference r:id="rId10"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红豆幼黑体">
    <w:panose1 w:val="02000509000000000000"/>
    <w:charset w:val="86"/>
    <w:family w:val="auto"/>
    <w:pitch w:val="default"/>
    <w:sig w:usb0="00000001" w:usb1="08010410" w:usb2="00000012"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JY2021055</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39"/>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BA48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7225DE"/>
    <w:rsid w:val="12771EF0"/>
    <w:rsid w:val="12864374"/>
    <w:rsid w:val="12920AD9"/>
    <w:rsid w:val="12934340"/>
    <w:rsid w:val="12C27712"/>
    <w:rsid w:val="12EE267C"/>
    <w:rsid w:val="13036894"/>
    <w:rsid w:val="130724D5"/>
    <w:rsid w:val="130779C3"/>
    <w:rsid w:val="134A1183"/>
    <w:rsid w:val="134A5358"/>
    <w:rsid w:val="135A34E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D93AD4"/>
    <w:rsid w:val="14E238D5"/>
    <w:rsid w:val="15123C1C"/>
    <w:rsid w:val="152612F9"/>
    <w:rsid w:val="152F0D51"/>
    <w:rsid w:val="15397AC9"/>
    <w:rsid w:val="158669AB"/>
    <w:rsid w:val="15981FB4"/>
    <w:rsid w:val="15A0619E"/>
    <w:rsid w:val="15D70E84"/>
    <w:rsid w:val="15F170FF"/>
    <w:rsid w:val="161556B7"/>
    <w:rsid w:val="16222214"/>
    <w:rsid w:val="16225D81"/>
    <w:rsid w:val="164173EC"/>
    <w:rsid w:val="1649695B"/>
    <w:rsid w:val="16715406"/>
    <w:rsid w:val="167C2417"/>
    <w:rsid w:val="1687716E"/>
    <w:rsid w:val="169B3BE0"/>
    <w:rsid w:val="16B52472"/>
    <w:rsid w:val="16C23B99"/>
    <w:rsid w:val="16E04D7B"/>
    <w:rsid w:val="16E64F85"/>
    <w:rsid w:val="17111ED0"/>
    <w:rsid w:val="17733041"/>
    <w:rsid w:val="17BA74F5"/>
    <w:rsid w:val="17BF3781"/>
    <w:rsid w:val="183A0A39"/>
    <w:rsid w:val="18617367"/>
    <w:rsid w:val="18731802"/>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4091384"/>
    <w:rsid w:val="341D19AD"/>
    <w:rsid w:val="342C3501"/>
    <w:rsid w:val="348F7295"/>
    <w:rsid w:val="349178C2"/>
    <w:rsid w:val="34A8071E"/>
    <w:rsid w:val="34B81ADB"/>
    <w:rsid w:val="34FB6DF1"/>
    <w:rsid w:val="35321868"/>
    <w:rsid w:val="35423643"/>
    <w:rsid w:val="354939FA"/>
    <w:rsid w:val="354D3B73"/>
    <w:rsid w:val="3553498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E34B09"/>
    <w:rsid w:val="3DEE6DD6"/>
    <w:rsid w:val="3E0A6D87"/>
    <w:rsid w:val="3E8D1BE2"/>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5A20CD"/>
    <w:rsid w:val="41600FB8"/>
    <w:rsid w:val="417E0BD2"/>
    <w:rsid w:val="418F19FE"/>
    <w:rsid w:val="423A080D"/>
    <w:rsid w:val="42414910"/>
    <w:rsid w:val="42587ACD"/>
    <w:rsid w:val="42767EE7"/>
    <w:rsid w:val="428555BA"/>
    <w:rsid w:val="428E221D"/>
    <w:rsid w:val="42EE6E6B"/>
    <w:rsid w:val="42FC0E1E"/>
    <w:rsid w:val="4305028C"/>
    <w:rsid w:val="43D1232D"/>
    <w:rsid w:val="43DB50BA"/>
    <w:rsid w:val="43E37FB6"/>
    <w:rsid w:val="44086895"/>
    <w:rsid w:val="44215CEC"/>
    <w:rsid w:val="442A5031"/>
    <w:rsid w:val="44D22523"/>
    <w:rsid w:val="44EF63E4"/>
    <w:rsid w:val="45013E51"/>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A044CC1"/>
    <w:rsid w:val="4A11062E"/>
    <w:rsid w:val="4A42284D"/>
    <w:rsid w:val="4A5425E2"/>
    <w:rsid w:val="4A8D09C1"/>
    <w:rsid w:val="4AD80EDA"/>
    <w:rsid w:val="4AEE26A5"/>
    <w:rsid w:val="4B5F1790"/>
    <w:rsid w:val="4BAB1564"/>
    <w:rsid w:val="4BEB36BB"/>
    <w:rsid w:val="4C047BFF"/>
    <w:rsid w:val="4C12349F"/>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D73146"/>
    <w:rsid w:val="5DEA6684"/>
    <w:rsid w:val="5E115B8C"/>
    <w:rsid w:val="5E19141B"/>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008EC"/>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DF45D87"/>
    <w:rsid w:val="6E0C2EF3"/>
    <w:rsid w:val="6E482A95"/>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E87A2C"/>
    <w:rsid w:val="710544FF"/>
    <w:rsid w:val="7144737C"/>
    <w:rsid w:val="714474D0"/>
    <w:rsid w:val="715528A5"/>
    <w:rsid w:val="715A5764"/>
    <w:rsid w:val="71665980"/>
    <w:rsid w:val="71A16AB0"/>
    <w:rsid w:val="71C31F17"/>
    <w:rsid w:val="71D4661D"/>
    <w:rsid w:val="71EF2F1F"/>
    <w:rsid w:val="72166395"/>
    <w:rsid w:val="72177D49"/>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7732ED"/>
    <w:rsid w:val="799814FD"/>
    <w:rsid w:val="79AB6D38"/>
    <w:rsid w:val="79AC16B7"/>
    <w:rsid w:val="79AF441F"/>
    <w:rsid w:val="79D22AD2"/>
    <w:rsid w:val="79FD7A91"/>
    <w:rsid w:val="7A013DD2"/>
    <w:rsid w:val="7A1E1EBE"/>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604FF"/>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7"/>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5"/>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3"/>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1"/>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2"/>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toc 2"/>
    <w:basedOn w:val="1"/>
    <w:next w:val="1"/>
    <w:qFormat/>
    <w:uiPriority w:val="0"/>
    <w:pPr>
      <w:ind w:left="420" w:leftChars="200"/>
    </w:p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1">
    <w:name w:val="annotation subject"/>
    <w:basedOn w:val="9"/>
    <w:next w:val="9"/>
    <w:link w:val="45"/>
    <w:unhideWhenUsed/>
    <w:qFormat/>
    <w:uiPriority w:val="0"/>
    <w:rPr>
      <w:b/>
      <w:bCs/>
    </w:rPr>
  </w:style>
  <w:style w:type="paragraph" w:styleId="22">
    <w:name w:val="Body Text First Indent 2"/>
    <w:basedOn w:val="1"/>
    <w:next w:val="1"/>
    <w:qFormat/>
    <w:uiPriority w:val="99"/>
    <w:pPr>
      <w:ind w:firstLine="420" w:firstLineChars="200"/>
    </w:p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page number"/>
    <w:basedOn w:val="25"/>
    <w:qFormat/>
    <w:uiPriority w:val="0"/>
  </w:style>
  <w:style w:type="character" w:styleId="28">
    <w:name w:val="FollowedHyperlink"/>
    <w:basedOn w:val="25"/>
    <w:unhideWhenUsed/>
    <w:qFormat/>
    <w:uiPriority w:val="0"/>
    <w:rPr>
      <w:rFonts w:hint="eastAsia" w:ascii="微软雅黑" w:hAnsi="微软雅黑" w:eastAsia="微软雅黑" w:cs="微软雅黑"/>
      <w:color w:val="02396F"/>
      <w:u w:val="single"/>
    </w:rPr>
  </w:style>
  <w:style w:type="character" w:styleId="29">
    <w:name w:val="Emphasis"/>
    <w:basedOn w:val="25"/>
    <w:qFormat/>
    <w:uiPriority w:val="0"/>
  </w:style>
  <w:style w:type="character" w:styleId="30">
    <w:name w:val="HTML Definition"/>
    <w:basedOn w:val="25"/>
    <w:unhideWhenUsed/>
    <w:qFormat/>
    <w:uiPriority w:val="0"/>
  </w:style>
  <w:style w:type="character" w:styleId="31">
    <w:name w:val="HTML Variable"/>
    <w:basedOn w:val="25"/>
    <w:unhideWhenUsed/>
    <w:qFormat/>
    <w:uiPriority w:val="0"/>
  </w:style>
  <w:style w:type="character" w:styleId="32">
    <w:name w:val="Hyperlink"/>
    <w:basedOn w:val="25"/>
    <w:unhideWhenUsed/>
    <w:qFormat/>
    <w:uiPriority w:val="0"/>
    <w:rPr>
      <w:rFonts w:ascii="微软雅黑" w:hAnsi="微软雅黑" w:eastAsia="微软雅黑" w:cs="微软雅黑"/>
      <w:color w:val="02396F"/>
      <w:u w:val="single"/>
    </w:rPr>
  </w:style>
  <w:style w:type="character" w:styleId="33">
    <w:name w:val="HTML Code"/>
    <w:basedOn w:val="25"/>
    <w:unhideWhenUsed/>
    <w:qFormat/>
    <w:uiPriority w:val="0"/>
    <w:rPr>
      <w:rFonts w:ascii="Courier New" w:hAnsi="Courier New"/>
      <w:sz w:val="20"/>
    </w:rPr>
  </w:style>
  <w:style w:type="character" w:styleId="34">
    <w:name w:val="annotation reference"/>
    <w:unhideWhenUsed/>
    <w:qFormat/>
    <w:uiPriority w:val="0"/>
    <w:rPr>
      <w:sz w:val="21"/>
      <w:szCs w:val="21"/>
    </w:rPr>
  </w:style>
  <w:style w:type="character" w:styleId="35">
    <w:name w:val="HTML Cite"/>
    <w:basedOn w:val="25"/>
    <w:unhideWhenUsed/>
    <w:qFormat/>
    <w:uiPriority w:val="0"/>
  </w:style>
  <w:style w:type="character" w:customStyle="1" w:styleId="36">
    <w:name w:val="placehold"/>
    <w:basedOn w:val="25"/>
    <w:qFormat/>
    <w:uiPriority w:val="0"/>
  </w:style>
  <w:style w:type="character" w:customStyle="1" w:styleId="37">
    <w:name w:val="标题 1 Char"/>
    <w:basedOn w:val="25"/>
    <w:link w:val="4"/>
    <w:qFormat/>
    <w:uiPriority w:val="0"/>
    <w:rPr>
      <w:rFonts w:ascii="楷体_GB2312" w:eastAsia="楷体_GB2312" w:cs="楷体_GB2312"/>
      <w:sz w:val="28"/>
      <w:szCs w:val="28"/>
    </w:rPr>
  </w:style>
  <w:style w:type="character" w:customStyle="1" w:styleId="38">
    <w:name w:val="二级目录 Char"/>
    <w:link w:val="39"/>
    <w:qFormat/>
    <w:uiPriority w:val="99"/>
    <w:rPr>
      <w:rFonts w:ascii="Calibri" w:hAnsi="Calibri"/>
      <w:b/>
      <w:bCs/>
      <w:kern w:val="2"/>
      <w:sz w:val="28"/>
      <w:szCs w:val="28"/>
      <w:lang w:val="en-US" w:eastAsia="zh-CN" w:bidi="ar-SA"/>
    </w:rPr>
  </w:style>
  <w:style w:type="paragraph" w:customStyle="1" w:styleId="39">
    <w:name w:val="二级目录"/>
    <w:next w:val="1"/>
    <w:link w:val="38"/>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0">
    <w:name w:val="gjfg"/>
    <w:basedOn w:val="25"/>
    <w:qFormat/>
    <w:uiPriority w:val="0"/>
  </w:style>
  <w:style w:type="character" w:customStyle="1" w:styleId="41">
    <w:name w:val="一级目录 Char"/>
    <w:link w:val="42"/>
    <w:qFormat/>
    <w:locked/>
    <w:uiPriority w:val="99"/>
    <w:rPr>
      <w:rFonts w:ascii="黑体" w:eastAsia="黑体"/>
      <w:b/>
      <w:bCs/>
      <w:kern w:val="2"/>
      <w:sz w:val="44"/>
      <w:szCs w:val="44"/>
      <w:lang w:val="en-US" w:eastAsia="zh-CN" w:bidi="ar-SA"/>
    </w:rPr>
  </w:style>
  <w:style w:type="paragraph" w:customStyle="1" w:styleId="42">
    <w:name w:val="一级目录"/>
    <w:next w:val="1"/>
    <w:link w:val="4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3">
    <w:name w:val="x-tab-strip-text14"/>
    <w:basedOn w:val="25"/>
    <w:qFormat/>
    <w:uiPriority w:val="0"/>
  </w:style>
  <w:style w:type="character" w:customStyle="1" w:styleId="44">
    <w:name w:val="x-tab-strip-text12"/>
    <w:basedOn w:val="25"/>
    <w:qFormat/>
    <w:uiPriority w:val="0"/>
    <w:rPr>
      <w:b/>
      <w:color w:val="15428B"/>
    </w:rPr>
  </w:style>
  <w:style w:type="character" w:customStyle="1" w:styleId="45">
    <w:name w:val="批注主题 Char"/>
    <w:link w:val="21"/>
    <w:semiHidden/>
    <w:qFormat/>
    <w:uiPriority w:val="0"/>
    <w:rPr>
      <w:rFonts w:ascii="Calibri" w:hAnsi="Calibri" w:cs="Calibri"/>
      <w:b/>
      <w:bCs/>
      <w:kern w:val="2"/>
      <w:sz w:val="21"/>
      <w:szCs w:val="21"/>
    </w:rPr>
  </w:style>
  <w:style w:type="character" w:customStyle="1" w:styleId="46">
    <w:name w:val="qxdate"/>
    <w:basedOn w:val="25"/>
    <w:qFormat/>
    <w:uiPriority w:val="0"/>
    <w:rPr>
      <w:color w:val="333333"/>
      <w:sz w:val="18"/>
      <w:szCs w:val="18"/>
    </w:rPr>
  </w:style>
  <w:style w:type="character" w:customStyle="1" w:styleId="47">
    <w:name w:val="on"/>
    <w:basedOn w:val="25"/>
    <w:qFormat/>
    <w:uiPriority w:val="0"/>
    <w:rPr>
      <w:rFonts w:ascii="Tahoma" w:hAnsi="Tahoma" w:eastAsia="Tahoma" w:cs="Tahoma"/>
      <w:color w:val="004080"/>
      <w:sz w:val="18"/>
      <w:szCs w:val="18"/>
      <w:shd w:val="clear" w:color="auto" w:fill="9FD6FF"/>
    </w:rPr>
  </w:style>
  <w:style w:type="character" w:customStyle="1" w:styleId="48">
    <w:name w:val="task-item-subject"/>
    <w:basedOn w:val="25"/>
    <w:qFormat/>
    <w:uiPriority w:val="0"/>
  </w:style>
  <w:style w:type="character" w:customStyle="1" w:styleId="49">
    <w:name w:val="x-tab-strip-text17"/>
    <w:basedOn w:val="25"/>
    <w:qFormat/>
    <w:uiPriority w:val="0"/>
    <w:rPr>
      <w:color w:val="02245B"/>
    </w:rPr>
  </w:style>
  <w:style w:type="character" w:customStyle="1" w:styleId="50">
    <w:name w:val="display"/>
    <w:basedOn w:val="25"/>
    <w:qFormat/>
    <w:uiPriority w:val="0"/>
    <w:rPr>
      <w:bdr w:val="single" w:color="AAAAAA" w:sz="6" w:space="0"/>
    </w:rPr>
  </w:style>
  <w:style w:type="character" w:customStyle="1" w:styleId="51">
    <w:name w:val="img"/>
    <w:basedOn w:val="25"/>
    <w:qFormat/>
    <w:uiPriority w:val="0"/>
  </w:style>
  <w:style w:type="character" w:customStyle="1" w:styleId="52">
    <w:name w:val="display1"/>
    <w:basedOn w:val="25"/>
    <w:qFormat/>
    <w:uiPriority w:val="0"/>
  </w:style>
  <w:style w:type="character" w:customStyle="1" w:styleId="53">
    <w:name w:val="btnbargray"/>
    <w:basedOn w:val="25"/>
    <w:qFormat/>
    <w:uiPriority w:val="0"/>
    <w:rPr>
      <w:color w:val="808080"/>
    </w:rPr>
  </w:style>
  <w:style w:type="character" w:customStyle="1" w:styleId="54">
    <w:name w:val="x-tab-strip-text15"/>
    <w:basedOn w:val="25"/>
    <w:qFormat/>
    <w:uiPriority w:val="0"/>
    <w:rPr>
      <w:color w:val="246BB3"/>
    </w:rPr>
  </w:style>
  <w:style w:type="character" w:customStyle="1" w:styleId="55">
    <w:name w:val="displayarti"/>
    <w:basedOn w:val="25"/>
    <w:qFormat/>
    <w:uiPriority w:val="0"/>
    <w:rPr>
      <w:color w:val="FFFFFF"/>
      <w:shd w:val="clear" w:color="auto" w:fill="A00000"/>
    </w:rPr>
  </w:style>
  <w:style w:type="character" w:customStyle="1" w:styleId="56">
    <w:name w:val="redfilefwwh"/>
    <w:basedOn w:val="25"/>
    <w:qFormat/>
    <w:uiPriority w:val="0"/>
    <w:rPr>
      <w:color w:val="BA2636"/>
      <w:sz w:val="18"/>
      <w:szCs w:val="18"/>
    </w:rPr>
  </w:style>
  <w:style w:type="character" w:customStyle="1" w:styleId="57">
    <w:name w:val="subdisplay1"/>
    <w:basedOn w:val="25"/>
    <w:qFormat/>
    <w:uiPriority w:val="0"/>
    <w:rPr>
      <w:color w:val="808080"/>
    </w:rPr>
  </w:style>
  <w:style w:type="character" w:customStyle="1" w:styleId="58">
    <w:name w:val="groupcaptionhandler"/>
    <w:basedOn w:val="25"/>
    <w:qFormat/>
    <w:uiPriority w:val="0"/>
  </w:style>
  <w:style w:type="character" w:customStyle="1" w:styleId="59">
    <w:name w:val="x-tab-strip-text11"/>
    <w:basedOn w:val="25"/>
    <w:qFormat/>
    <w:uiPriority w:val="0"/>
  </w:style>
  <w:style w:type="character" w:customStyle="1" w:styleId="60">
    <w:name w:val="display2"/>
    <w:basedOn w:val="25"/>
    <w:qFormat/>
    <w:uiPriority w:val="0"/>
  </w:style>
  <w:style w:type="character" w:customStyle="1" w:styleId="61">
    <w:name w:val="批注框文本 Char"/>
    <w:link w:val="13"/>
    <w:qFormat/>
    <w:uiPriority w:val="0"/>
    <w:rPr>
      <w:rFonts w:ascii="Calibri" w:hAnsi="Calibri" w:cs="Calibri"/>
      <w:kern w:val="2"/>
      <w:sz w:val="18"/>
      <w:szCs w:val="18"/>
    </w:rPr>
  </w:style>
  <w:style w:type="character" w:customStyle="1" w:styleId="62">
    <w:name w:val="x-tab-strip-text16"/>
    <w:basedOn w:val="25"/>
    <w:qFormat/>
    <w:uiPriority w:val="0"/>
    <w:rPr>
      <w:color w:val="012F5E"/>
    </w:rPr>
  </w:style>
  <w:style w:type="character" w:customStyle="1" w:styleId="63">
    <w:name w:val="批注文字 Char"/>
    <w:link w:val="9"/>
    <w:semiHidden/>
    <w:qFormat/>
    <w:uiPriority w:val="0"/>
    <w:rPr>
      <w:rFonts w:ascii="Calibri" w:hAnsi="Calibri" w:cs="Calibri"/>
      <w:kern w:val="2"/>
      <w:sz w:val="21"/>
      <w:szCs w:val="21"/>
    </w:rPr>
  </w:style>
  <w:style w:type="character" w:customStyle="1" w:styleId="64">
    <w:name w:val="redfilenumber"/>
    <w:basedOn w:val="25"/>
    <w:qFormat/>
    <w:uiPriority w:val="0"/>
    <w:rPr>
      <w:color w:val="BA2636"/>
      <w:sz w:val="18"/>
      <w:szCs w:val="18"/>
    </w:rPr>
  </w:style>
  <w:style w:type="character" w:customStyle="1" w:styleId="65">
    <w:name w:val="标题 2 Char"/>
    <w:link w:val="5"/>
    <w:qFormat/>
    <w:locked/>
    <w:uiPriority w:val="99"/>
    <w:rPr>
      <w:rFonts w:ascii="Arial" w:hAnsi="Arial" w:eastAsia="红豆幼黑体" w:cs="Arial"/>
      <w:b/>
      <w:bCs/>
      <w:sz w:val="44"/>
      <w:szCs w:val="44"/>
    </w:rPr>
  </w:style>
  <w:style w:type="character" w:customStyle="1" w:styleId="66">
    <w:name w:val="img1"/>
    <w:basedOn w:val="25"/>
    <w:qFormat/>
    <w:uiPriority w:val="0"/>
  </w:style>
  <w:style w:type="character" w:customStyle="1" w:styleId="67">
    <w:name w:val="cfdate"/>
    <w:basedOn w:val="25"/>
    <w:qFormat/>
    <w:uiPriority w:val="0"/>
    <w:rPr>
      <w:color w:val="333333"/>
      <w:sz w:val="18"/>
      <w:szCs w:val="18"/>
    </w:rPr>
  </w:style>
  <w:style w:type="character" w:customStyle="1" w:styleId="68">
    <w:name w:val="x-tab-strip-text18"/>
    <w:basedOn w:val="25"/>
    <w:qFormat/>
    <w:uiPriority w:val="0"/>
    <w:rPr>
      <w:color w:val="15428B"/>
    </w:rPr>
  </w:style>
  <w:style w:type="character" w:customStyle="1" w:styleId="69">
    <w:name w:val="x-tab-strip-text9"/>
    <w:basedOn w:val="25"/>
    <w:qFormat/>
    <w:uiPriority w:val="0"/>
    <w:rPr>
      <w:rFonts w:ascii="宋体" w:hAnsi="宋体" w:eastAsia="宋体" w:cs="宋体"/>
      <w:color w:val="416AA3"/>
      <w:sz w:val="18"/>
      <w:szCs w:val="18"/>
    </w:rPr>
  </w:style>
  <w:style w:type="character" w:customStyle="1" w:styleId="70">
    <w:name w:val="x-tab-strip-text13"/>
    <w:basedOn w:val="25"/>
    <w:qFormat/>
    <w:uiPriority w:val="0"/>
    <w:rPr>
      <w:color w:val="FFFFFF"/>
    </w:rPr>
  </w:style>
  <w:style w:type="character" w:customStyle="1" w:styleId="71">
    <w:name w:val="subdisplay"/>
    <w:basedOn w:val="25"/>
    <w:qFormat/>
    <w:uiPriority w:val="0"/>
    <w:rPr>
      <w:color w:val="808080"/>
    </w:rPr>
  </w:style>
  <w:style w:type="character" w:customStyle="1" w:styleId="72">
    <w:name w:val="副标题 Char"/>
    <w:link w:val="17"/>
    <w:qFormat/>
    <w:uiPriority w:val="0"/>
    <w:rPr>
      <w:rFonts w:ascii="Cambria" w:hAnsi="Cambria" w:cs="Times New Roman"/>
      <w:b/>
      <w:bCs/>
      <w:kern w:val="28"/>
      <w:sz w:val="32"/>
      <w:szCs w:val="32"/>
    </w:rPr>
  </w:style>
  <w:style w:type="character" w:customStyle="1" w:styleId="73">
    <w:name w:val="x-tab-strip-text10"/>
    <w:basedOn w:val="25"/>
    <w:qFormat/>
    <w:uiPriority w:val="0"/>
  </w:style>
  <w:style w:type="character" w:customStyle="1" w:styleId="74">
    <w:name w:val="x-tab-strip-text8"/>
    <w:basedOn w:val="25"/>
    <w:qFormat/>
    <w:uiPriority w:val="0"/>
  </w:style>
  <w:style w:type="paragraph" w:customStyle="1" w:styleId="75">
    <w:name w:val="Table Paragraph"/>
    <w:basedOn w:val="1"/>
    <w:qFormat/>
    <w:uiPriority w:val="1"/>
  </w:style>
  <w:style w:type="paragraph" w:styleId="76">
    <w:name w:val="List Paragraph"/>
    <w:basedOn w:val="1"/>
    <w:qFormat/>
    <w:uiPriority w:val="34"/>
    <w:pPr>
      <w:ind w:firstLine="420" w:firstLineChars="200"/>
    </w:pPr>
  </w:style>
  <w:style w:type="paragraph" w:customStyle="1" w:styleId="77">
    <w:name w:val="Char1"/>
    <w:basedOn w:val="1"/>
    <w:qFormat/>
    <w:uiPriority w:val="99"/>
    <w:rPr>
      <w:rFonts w:ascii="Tahoma" w:hAnsi="Tahoma" w:cs="Tahoma"/>
      <w:sz w:val="24"/>
      <w:szCs w:val="24"/>
    </w:rPr>
  </w:style>
  <w:style w:type="paragraph" w:customStyle="1" w:styleId="78">
    <w:name w:val="列出段落1"/>
    <w:basedOn w:val="1"/>
    <w:qFormat/>
    <w:uiPriority w:val="99"/>
    <w:pPr>
      <w:ind w:firstLine="420" w:firstLineChars="200"/>
    </w:pPr>
  </w:style>
  <w:style w:type="paragraph" w:customStyle="1" w:styleId="79">
    <w:name w:val="_Style 2"/>
    <w:basedOn w:val="1"/>
    <w:qFormat/>
    <w:uiPriority w:val="34"/>
    <w:pPr>
      <w:ind w:firstLine="420" w:firstLineChars="200"/>
    </w:pPr>
  </w:style>
  <w:style w:type="paragraph" w:customStyle="1" w:styleId="80">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1">
    <w:name w:val="列表段落"/>
    <w:basedOn w:val="1"/>
    <w:qFormat/>
    <w:uiPriority w:val="34"/>
    <w:pPr>
      <w:ind w:firstLine="420" w:firstLineChars="200"/>
    </w:pPr>
  </w:style>
  <w:style w:type="paragraph" w:customStyle="1" w:styleId="8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4">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5">
    <w:name w:val="表中文字"/>
    <w:basedOn w:val="1"/>
    <w:qFormat/>
    <w:uiPriority w:val="0"/>
    <w:rPr>
      <w:rFonts w:ascii="Times New Roman" w:hAnsi="Times New Roman" w:eastAsia="宋体" w:cs="Times New Roman"/>
      <w:kern w:val="0"/>
      <w:sz w:val="24"/>
      <w:szCs w:val="24"/>
    </w:rPr>
  </w:style>
  <w:style w:type="table" w:customStyle="1" w:styleId="86">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0</TotalTime>
  <ScaleCrop>false</ScaleCrop>
  <LinksUpToDate>false</LinksUpToDate>
  <CharactersWithSpaces>20006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丁成业</cp:lastModifiedBy>
  <cp:lastPrinted>2021-05-26T10:27:00Z</cp:lastPrinted>
  <dcterms:modified xsi:type="dcterms:W3CDTF">2021-05-28T02:45:31Z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8068780_cloud</vt:lpwstr>
  </property>
  <property fmtid="{D5CDD505-2E9C-101B-9397-08002B2CF9AE}" pid="4" name="ICV">
    <vt:lpwstr>BC592F06067D44518458F98C4FD00638</vt:lpwstr>
  </property>
</Properties>
</file>