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bCs/>
          <w:sz w:val="52"/>
          <w:szCs w:val="52"/>
        </w:rPr>
      </w:pPr>
      <w:bookmarkStart w:id="0" w:name="_Toc342252860"/>
      <w:bookmarkStart w:id="1" w:name="_Toc337620797"/>
      <w:bookmarkStart w:id="2" w:name="_Toc341991041"/>
      <w:bookmarkStart w:id="3" w:name="_Toc342241484"/>
      <w:bookmarkStart w:id="4" w:name="_Toc341993786"/>
      <w:bookmarkStart w:id="5" w:name="_Toc337622980"/>
      <w:bookmarkStart w:id="6" w:name="_Toc341988481"/>
      <w:bookmarkStart w:id="7" w:name="_Toc341992627"/>
      <w:bookmarkStart w:id="8" w:name="_Toc341993112"/>
      <w:bookmarkStart w:id="9" w:name="_Toc341992707"/>
      <w:r>
        <w:rPr>
          <w:rFonts w:hint="eastAsia" w:asciiTheme="minorEastAsia" w:hAnsiTheme="minorEastAsia" w:eastAsiaTheme="minorEastAsia"/>
          <w:b/>
          <w:bCs/>
          <w:sz w:val="52"/>
          <w:szCs w:val="52"/>
        </w:rPr>
        <w:t>南京交通职业技术学院城市轨道交通运营管理骨干专业资源建设</w:t>
      </w:r>
    </w:p>
    <w:p>
      <w:pPr>
        <w:jc w:val="center"/>
        <w:rPr>
          <w:rFonts w:hint="eastAsia" w:asciiTheme="minorEastAsia" w:hAnsiTheme="minorEastAsia" w:eastAsiaTheme="minorEastAsia"/>
          <w:b/>
          <w:bCs/>
          <w:sz w:val="52"/>
          <w:szCs w:val="52"/>
        </w:rPr>
      </w:pPr>
      <w:r>
        <w:rPr>
          <w:rFonts w:hint="eastAsia" w:asciiTheme="minorEastAsia" w:hAnsiTheme="minorEastAsia" w:eastAsiaTheme="minorEastAsia"/>
          <w:b/>
          <w:bCs/>
          <w:sz w:val="52"/>
          <w:szCs w:val="52"/>
        </w:rPr>
        <w:t>竞争性磋商文件</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r>
        <w:rPr>
          <w:rFonts w:hint="eastAsia" w:asciiTheme="minorEastAsia" w:hAnsiTheme="minorEastAsia" w:eastAsiaTheme="minorEastAsia"/>
          <w:b/>
          <w:bCs/>
          <w:sz w:val="32"/>
          <w:szCs w:val="32"/>
          <w:lang w:val="zh-CN"/>
        </w:rPr>
        <w:t>采购编号：JY20180</w:t>
      </w:r>
      <w:r>
        <w:rPr>
          <w:rFonts w:hint="eastAsia" w:asciiTheme="minorEastAsia" w:hAnsiTheme="minorEastAsia" w:eastAsiaTheme="minorEastAsia"/>
          <w:b/>
          <w:bCs/>
          <w:sz w:val="32"/>
          <w:szCs w:val="32"/>
          <w:lang w:val="en-US" w:eastAsia="zh-CN"/>
        </w:rPr>
        <w:t>99</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lang w:val="zh-CN"/>
        </w:rPr>
      </w:pPr>
    </w:p>
    <w:p>
      <w:pPr>
        <w:jc w:val="center"/>
        <w:rPr>
          <w:rFonts w:hint="eastAsia" w:asciiTheme="minorEastAsia" w:hAnsiTheme="minorEastAsia" w:eastAsiaTheme="minorEastAsia"/>
          <w:b/>
          <w:bCs/>
          <w:sz w:val="32"/>
          <w:szCs w:val="32"/>
          <w:lang w:val="zh-CN"/>
        </w:rPr>
      </w:pPr>
      <w:bookmarkStart w:id="10" w:name="_Toc15673"/>
      <w:r>
        <w:rPr>
          <w:rFonts w:hint="eastAsia" w:asciiTheme="minorEastAsia" w:hAnsiTheme="minorEastAsia" w:eastAsiaTheme="minorEastAsia"/>
          <w:b/>
          <w:bCs/>
          <w:sz w:val="32"/>
          <w:szCs w:val="32"/>
          <w:lang w:val="zh-CN"/>
        </w:rPr>
        <w:t>南京交通职业技术学院物资采购管理办公室</w:t>
      </w:r>
      <w:bookmarkEnd w:id="10"/>
    </w:p>
    <w:p>
      <w:pPr>
        <w:jc w:val="center"/>
        <w:rPr>
          <w:rFonts w:hint="eastAsia" w:asciiTheme="minorEastAsia" w:hAnsiTheme="minorEastAsia" w:eastAsiaTheme="minorEastAsia"/>
          <w:b/>
          <w:bCs/>
          <w:sz w:val="32"/>
          <w:szCs w:val="32"/>
          <w:lang w:val="zh-CN"/>
        </w:rPr>
      </w:pPr>
    </w:p>
    <w:p>
      <w:pPr>
        <w:jc w:val="center"/>
        <w:rPr>
          <w:rFonts w:hint="eastAsia" w:asciiTheme="minorEastAsia" w:hAnsiTheme="minorEastAsia" w:eastAsiaTheme="minorEastAsia"/>
          <w:b/>
          <w:bCs/>
          <w:sz w:val="32"/>
          <w:szCs w:val="32"/>
          <w:lang w:val="zh-CN"/>
        </w:rPr>
      </w:pPr>
      <w:r>
        <w:rPr>
          <w:rFonts w:hint="eastAsia" w:asciiTheme="minorEastAsia" w:hAnsiTheme="minorEastAsia" w:eastAsiaTheme="minorEastAsia"/>
          <w:b/>
          <w:bCs/>
          <w:sz w:val="32"/>
          <w:szCs w:val="32"/>
          <w:lang w:val="zh-CN"/>
        </w:rPr>
        <w:t>二〇一</w:t>
      </w:r>
      <w:r>
        <w:rPr>
          <w:rFonts w:hint="eastAsia" w:asciiTheme="minorEastAsia" w:hAnsiTheme="minorEastAsia" w:eastAsiaTheme="minorEastAsia"/>
          <w:b/>
          <w:bCs/>
          <w:sz w:val="32"/>
          <w:szCs w:val="32"/>
        </w:rPr>
        <w:t>八</w:t>
      </w:r>
      <w:r>
        <w:rPr>
          <w:rFonts w:hint="eastAsia" w:asciiTheme="minorEastAsia" w:hAnsiTheme="minorEastAsia" w:eastAsiaTheme="minorEastAsia"/>
          <w:b/>
          <w:bCs/>
          <w:sz w:val="32"/>
          <w:szCs w:val="32"/>
          <w:lang w:val="zh-CN"/>
        </w:rPr>
        <w:t>年</w:t>
      </w:r>
      <w:r>
        <w:rPr>
          <w:rFonts w:hint="eastAsia" w:asciiTheme="minorEastAsia" w:hAnsiTheme="minorEastAsia" w:eastAsiaTheme="minorEastAsia"/>
          <w:b/>
          <w:bCs/>
          <w:sz w:val="32"/>
          <w:szCs w:val="32"/>
          <w:lang w:val="en-US" w:eastAsia="zh-CN"/>
        </w:rPr>
        <w:t>七</w:t>
      </w:r>
      <w:r>
        <w:rPr>
          <w:rFonts w:hint="eastAsia" w:asciiTheme="minorEastAsia" w:hAnsiTheme="minorEastAsia" w:eastAsiaTheme="minorEastAsia"/>
          <w:b/>
          <w:bCs/>
          <w:sz w:val="32"/>
          <w:szCs w:val="32"/>
          <w:lang w:val="zh-CN"/>
        </w:rPr>
        <w:t>月</w:t>
      </w:r>
    </w:p>
    <w:p>
      <w:pPr>
        <w:jc w:val="center"/>
        <w:rPr>
          <w:rFonts w:hint="eastAsia" w:ascii="仿宋_GB2312" w:hAnsi="仿宋_GB2312" w:eastAsia="仿宋_GB2312" w:cs="仿宋_GB2312"/>
          <w:b/>
          <w:sz w:val="28"/>
          <w:szCs w:val="28"/>
        </w:rPr>
      </w:pPr>
      <w:r>
        <w:rPr>
          <w:rFonts w:hint="eastAsia" w:asciiTheme="minorEastAsia" w:hAnsiTheme="minorEastAsia" w:eastAsiaTheme="minorEastAsia"/>
          <w:b/>
          <w:bCs/>
          <w:sz w:val="52"/>
          <w:szCs w:val="52"/>
        </w:rPr>
        <w:br w:type="page"/>
      </w:r>
      <w:bookmarkStart w:id="11" w:name="_Toc523127445"/>
      <w:bookmarkStart w:id="12" w:name="_Toc479757206"/>
      <w:bookmarkStart w:id="13" w:name="_Toc513029200"/>
      <w:bookmarkStart w:id="14" w:name="_Toc120614210"/>
      <w:bookmarkStart w:id="15" w:name="_Toc403987193"/>
      <w:bookmarkStart w:id="16" w:name="_Toc20823272"/>
      <w:bookmarkStart w:id="17" w:name="_Toc403986986"/>
      <w:bookmarkStart w:id="18" w:name="_Toc16938516"/>
      <w:r>
        <w:rPr>
          <w:rFonts w:hint="eastAsia" w:ascii="仿宋_GB2312" w:hAnsi="仿宋_GB2312" w:eastAsia="仿宋_GB2312" w:cs="仿宋_GB2312"/>
          <w:b/>
          <w:sz w:val="28"/>
          <w:szCs w:val="28"/>
        </w:rPr>
        <w:t>目  录</w:t>
      </w:r>
      <w:bookmarkEnd w:id="11"/>
      <w:bookmarkEnd w:id="12"/>
      <w:bookmarkEnd w:id="13"/>
      <w:bookmarkEnd w:id="14"/>
      <w:bookmarkEnd w:id="15"/>
      <w:bookmarkEnd w:id="16"/>
      <w:bookmarkEnd w:id="17"/>
      <w:bookmarkEnd w:id="18"/>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fldChar w:fldCharType="begin"/>
      </w:r>
      <w:r>
        <w:rPr>
          <w:rFonts w:hint="eastAsia" w:ascii="仿宋_GB2312" w:hAnsi="仿宋_GB2312" w:eastAsia="仿宋_GB2312" w:cs="仿宋_GB2312"/>
          <w:b w:val="0"/>
          <w:sz w:val="28"/>
          <w:szCs w:val="28"/>
        </w:rPr>
        <w:instrText xml:space="preserve"> TOC \o "1-1" \h \z \u </w:instrText>
      </w:r>
      <w:r>
        <w:rPr>
          <w:rFonts w:hint="eastAsia" w:ascii="仿宋_GB2312" w:hAnsi="仿宋_GB2312" w:eastAsia="仿宋_GB2312" w:cs="仿宋_GB2312"/>
          <w:b w:val="0"/>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第一章  竞争性磋商公告</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须知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第三章  成交标准</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第四章 </w:t>
      </w:r>
      <w:r>
        <w:rPr>
          <w:rFonts w:hint="eastAsia" w:ascii="仿宋_GB2312" w:hAnsi="仿宋_GB2312" w:eastAsia="仿宋_GB2312" w:cs="仿宋_GB2312"/>
          <w:sz w:val="28"/>
          <w:szCs w:val="28"/>
          <w:lang w:val="zh-CN"/>
        </w:rPr>
        <w:t>合同草案条款</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第五章  采购需求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第六章  响应文件格式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
        <w:keepNext w:val="0"/>
        <w:keepLines w:val="0"/>
        <w:numPr>
          <w:ilvl w:val="0"/>
          <w:numId w:val="0"/>
        </w:numPr>
        <w:spacing w:before="0" w:after="0" w:line="360" w:lineRule="auto"/>
        <w:jc w:val="both"/>
        <w:rPr>
          <w:rFonts w:hint="eastAsia" w:ascii="仿宋_GB2312" w:hAnsi="仿宋_GB2312" w:eastAsia="仿宋_GB2312" w:cs="仿宋_GB2312"/>
          <w:b w:val="0"/>
          <w:sz w:val="28"/>
          <w:szCs w:val="28"/>
        </w:rPr>
      </w:pPr>
      <w:r>
        <w:rPr>
          <w:rFonts w:hint="eastAsia" w:ascii="仿宋_GB2312" w:hAnsi="仿宋_GB2312" w:eastAsia="仿宋_GB2312" w:cs="仿宋_GB2312"/>
          <w:sz w:val="28"/>
          <w:szCs w:val="28"/>
        </w:rPr>
        <w:fldChar w:fldCharType="end"/>
      </w:r>
    </w:p>
    <w:p>
      <w:pPr>
        <w:jc w:val="both"/>
        <w:outlineLvl w:val="0"/>
        <w:rPr>
          <w:rFonts w:hint="eastAsia" w:ascii="仿宋_GB2312" w:hAnsi="仿宋_GB2312" w:eastAsia="仿宋_GB2312" w:cs="仿宋_GB2312"/>
          <w:b/>
          <w:sz w:val="28"/>
          <w:szCs w:val="28"/>
        </w:rPr>
      </w:pPr>
    </w:p>
    <w:p>
      <w:pPr>
        <w:jc w:val="both"/>
        <w:outlineLvl w:val="0"/>
        <w:rPr>
          <w:rFonts w:hint="eastAsia" w:ascii="仿宋_GB2312" w:hAnsi="仿宋_GB2312" w:eastAsia="仿宋_GB2312" w:cs="仿宋_GB2312"/>
          <w:b/>
          <w:sz w:val="28"/>
          <w:szCs w:val="28"/>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hint="eastAsia" w:ascii="仿宋_GB2312" w:hAnsi="仿宋_GB2312" w:eastAsia="仿宋_GB2312" w:cs="仿宋_GB2312"/>
          <w:sz w:val="28"/>
          <w:szCs w:val="28"/>
        </w:rPr>
      </w:pPr>
      <w:bookmarkStart w:id="19" w:name="_Toc29158"/>
      <w:bookmarkStart w:id="20" w:name="OLE_LINK1"/>
      <w:bookmarkStart w:id="21" w:name="_Toc120614281"/>
      <w:bookmarkStart w:id="22" w:name="_Toc26554093"/>
      <w:bookmarkStart w:id="23" w:name="_Toc49090575"/>
      <w:bookmarkStart w:id="24" w:name="OLE_LINK2"/>
      <w:bookmarkStart w:id="25" w:name="_Toc479757211"/>
      <w:bookmarkStart w:id="26" w:name="_Toc462564139"/>
      <w:bookmarkStart w:id="27" w:name="_Toc337584644"/>
      <w:bookmarkStart w:id="28" w:name="_Toc365619242"/>
      <w:bookmarkStart w:id="29" w:name="_Toc373781378"/>
      <w:bookmarkStart w:id="30" w:name="_Toc337622278"/>
      <w:bookmarkStart w:id="31" w:name="_Toc337622983"/>
      <w:bookmarkStart w:id="32" w:name="_Toc337620620"/>
      <w:bookmarkStart w:id="33" w:name="_Toc337622790"/>
      <w:bookmarkStart w:id="34" w:name="_Toc341993788"/>
      <w:bookmarkStart w:id="35" w:name="_Toc341992630"/>
      <w:bookmarkStart w:id="36" w:name="_Toc403560410"/>
      <w:bookmarkStart w:id="37" w:name="_Toc337620692"/>
      <w:bookmarkStart w:id="38" w:name="_Toc341991044"/>
      <w:bookmarkStart w:id="39" w:name="_Toc337622590"/>
      <w:bookmarkStart w:id="40" w:name="_Toc337622372"/>
      <w:bookmarkStart w:id="41" w:name="_Toc337584958"/>
      <w:bookmarkStart w:id="42" w:name="_Toc403401434"/>
      <w:bookmarkStart w:id="43" w:name="_Toc337622640"/>
      <w:bookmarkStart w:id="44" w:name="_Toc337584877"/>
      <w:bookmarkStart w:id="45" w:name="_Toc342241487"/>
      <w:bookmarkStart w:id="46" w:name="_Toc337620800"/>
      <w:bookmarkStart w:id="47" w:name="_Toc342558384"/>
      <w:bookmarkStart w:id="48" w:name="_Toc342374716"/>
      <w:bookmarkStart w:id="49" w:name="_Toc337622251"/>
      <w:bookmarkStart w:id="50" w:name="_Toc366517151"/>
      <w:bookmarkStart w:id="51" w:name="_Toc341988484"/>
      <w:bookmarkStart w:id="52" w:name="_Toc342497332"/>
      <w:bookmarkStart w:id="53" w:name="_Toc337622690"/>
      <w:bookmarkStart w:id="54" w:name="_Ref352791871"/>
      <w:bookmarkStart w:id="55" w:name="_Toc342252863"/>
      <w:bookmarkStart w:id="56" w:name="_Toc341992710"/>
      <w:bookmarkStart w:id="57" w:name="_Toc341993114"/>
      <w:r>
        <w:rPr>
          <w:rFonts w:hint="eastAsia" w:ascii="仿宋_GB2312" w:hAnsi="仿宋_GB2312" w:eastAsia="仿宋_GB2312" w:cs="仿宋_GB2312"/>
          <w:sz w:val="28"/>
          <w:szCs w:val="28"/>
        </w:rPr>
        <w:t>第一章  竞争性磋商公告</w:t>
      </w:r>
      <w:bookmarkEnd w:id="19"/>
    </w:p>
    <w:p>
      <w:pPr>
        <w:ind w:firstLine="560" w:firstLineChars="200"/>
        <w:jc w:val="both"/>
        <w:rPr>
          <w:rFonts w:hint="eastAsia" w:ascii="仿宋_GB2312" w:hAnsi="仿宋_GB2312" w:eastAsia="仿宋_GB2312" w:cs="仿宋_GB2312"/>
          <w:sz w:val="28"/>
          <w:szCs w:val="28"/>
          <w:lang w:val="zh-CN"/>
        </w:rPr>
      </w:pPr>
      <w:bookmarkStart w:id="58" w:name="_Toc403987195"/>
      <w:r>
        <w:rPr>
          <w:rFonts w:hint="eastAsia" w:ascii="仿宋_GB2312" w:hAnsi="仿宋_GB2312" w:eastAsia="仿宋_GB2312" w:cs="仿宋_GB2312"/>
          <w:sz w:val="28"/>
          <w:szCs w:val="28"/>
          <w:lang w:val="zh-CN"/>
        </w:rPr>
        <w:t>南京交通职业技术学院物资采购管理办公室受</w:t>
      </w:r>
      <w:r>
        <w:rPr>
          <w:rFonts w:hint="eastAsia" w:ascii="仿宋_GB2312" w:hAnsi="仿宋_GB2312" w:eastAsia="仿宋_GB2312" w:cs="仿宋_GB2312"/>
          <w:kern w:val="2"/>
          <w:sz w:val="28"/>
          <w:szCs w:val="28"/>
          <w:lang w:val="en-US" w:eastAsia="zh-CN"/>
        </w:rPr>
        <w:t>运输管理学院</w:t>
      </w:r>
      <w:r>
        <w:rPr>
          <w:rFonts w:hint="eastAsia" w:ascii="仿宋_GB2312" w:hAnsi="仿宋_GB2312" w:eastAsia="仿宋_GB2312" w:cs="仿宋_GB2312"/>
          <w:sz w:val="28"/>
          <w:szCs w:val="28"/>
          <w:lang w:val="zh-CN"/>
        </w:rPr>
        <w:t>委托，就</w:t>
      </w:r>
      <w:r>
        <w:rPr>
          <w:rFonts w:hint="eastAsia" w:ascii="仿宋_GB2312" w:hAnsi="仿宋_GB2312" w:eastAsia="仿宋_GB2312" w:cs="仿宋_GB2312"/>
          <w:kern w:val="2"/>
          <w:sz w:val="28"/>
          <w:szCs w:val="28"/>
        </w:rPr>
        <w:t>其城市轨道交通运营管理骨干专业资源建设</w:t>
      </w:r>
      <w:r>
        <w:rPr>
          <w:rFonts w:hint="eastAsia" w:ascii="仿宋_GB2312" w:hAnsi="仿宋_GB2312" w:eastAsia="仿宋_GB2312" w:cs="仿宋_GB2312"/>
          <w:sz w:val="28"/>
          <w:szCs w:val="28"/>
          <w:lang w:val="zh-CN"/>
        </w:rPr>
        <w:t>项目进行竞争性磋商采购，兹邀请符合资格条件的响应商提交响应文件和磋商。</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一、竞争性磋商项目名称及编号</w:t>
      </w:r>
      <w:bookmarkEnd w:id="58"/>
    </w:p>
    <w:p>
      <w:pPr>
        <w:pStyle w:val="19"/>
        <w:numPr>
          <w:ilvl w:val="0"/>
          <w:numId w:val="0"/>
        </w:numPr>
        <w:ind w:firstLine="560" w:firstLineChars="200"/>
        <w:jc w:val="both"/>
        <w:rPr>
          <w:rFonts w:hint="eastAsia" w:ascii="仿宋_GB2312" w:hAnsi="仿宋_GB2312" w:eastAsia="仿宋_GB2312" w:cs="仿宋_GB2312"/>
          <w:b w:val="0"/>
          <w:sz w:val="28"/>
          <w:szCs w:val="28"/>
          <w:lang w:val="zh-CN" w:eastAsia="zh-CN" w:bidi="ar-SA"/>
        </w:rPr>
      </w:pPr>
      <w:r>
        <w:rPr>
          <w:rFonts w:hint="eastAsia" w:ascii="仿宋_GB2312" w:hAnsi="仿宋_GB2312" w:eastAsia="仿宋_GB2312" w:cs="仿宋_GB2312"/>
          <w:b w:val="0"/>
          <w:sz w:val="28"/>
          <w:szCs w:val="28"/>
          <w:lang w:val="zh-CN" w:eastAsia="zh-CN" w:bidi="ar-SA"/>
        </w:rPr>
        <w:t>项目名称：城市轨道交通运营管理骨干专业资源建设</w:t>
      </w:r>
    </w:p>
    <w:p>
      <w:pPr>
        <w:pStyle w:val="19"/>
        <w:numPr>
          <w:ilvl w:val="0"/>
          <w:numId w:val="0"/>
        </w:numPr>
        <w:ind w:firstLine="560" w:firstLineChars="200"/>
        <w:jc w:val="both"/>
        <w:rPr>
          <w:rFonts w:hint="eastAsia" w:ascii="仿宋_GB2312" w:hAnsi="仿宋_GB2312" w:eastAsia="仿宋_GB2312" w:cs="仿宋_GB2312"/>
          <w:b w:val="0"/>
          <w:kern w:val="2"/>
          <w:sz w:val="28"/>
          <w:szCs w:val="28"/>
          <w:lang w:val="en-US" w:eastAsia="zh-CN" w:bidi="ar-SA"/>
        </w:rPr>
      </w:pPr>
      <w:r>
        <w:rPr>
          <w:rFonts w:hint="eastAsia" w:ascii="仿宋_GB2312" w:hAnsi="仿宋_GB2312" w:eastAsia="仿宋_GB2312" w:cs="仿宋_GB2312"/>
          <w:b w:val="0"/>
          <w:kern w:val="2"/>
          <w:sz w:val="28"/>
          <w:szCs w:val="28"/>
          <w:lang w:val="en-US" w:eastAsia="zh-CN" w:bidi="ar-SA"/>
        </w:rPr>
        <w:t>项目编号：</w:t>
      </w:r>
      <w:bookmarkStart w:id="59" w:name="_Toc403987196"/>
      <w:r>
        <w:rPr>
          <w:rFonts w:hint="eastAsia" w:ascii="仿宋_GB2312" w:hAnsi="仿宋_GB2312" w:eastAsia="仿宋_GB2312" w:cs="仿宋_GB2312"/>
          <w:b w:val="0"/>
          <w:kern w:val="2"/>
          <w:sz w:val="28"/>
          <w:szCs w:val="28"/>
          <w:lang w:val="en-US" w:eastAsia="zh-CN" w:bidi="ar-SA"/>
        </w:rPr>
        <w:t>JY2018099</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二、竞争性磋商项目简要说明</w:t>
      </w:r>
      <w:bookmarkEnd w:id="59"/>
    </w:p>
    <w:p>
      <w:pPr>
        <w:pStyle w:val="6"/>
        <w:ind w:firstLine="548" w:firstLineChars="196"/>
        <w:jc w:val="both"/>
        <w:rPr>
          <w:rFonts w:hint="eastAsia" w:ascii="仿宋_GB2312" w:hAnsi="仿宋_GB2312" w:eastAsia="仿宋_GB2312" w:cs="仿宋_GB2312"/>
          <w:kern w:val="2"/>
          <w:sz w:val="28"/>
          <w:szCs w:val="28"/>
          <w:lang w:val="en-US" w:eastAsia="zh-CN" w:bidi="ar-SA"/>
        </w:rPr>
      </w:pPr>
      <w:bookmarkStart w:id="60" w:name="_Toc403987197"/>
      <w:r>
        <w:rPr>
          <w:rFonts w:hint="eastAsia" w:ascii="仿宋_GB2312" w:hAnsi="仿宋_GB2312" w:eastAsia="仿宋_GB2312" w:cs="仿宋_GB2312"/>
          <w:kern w:val="2"/>
          <w:sz w:val="28"/>
          <w:szCs w:val="28"/>
          <w:lang w:val="en-US" w:eastAsia="zh-CN" w:bidi="ar-SA"/>
        </w:rPr>
        <w:t>本次采购的是城市轨道交通运营管理骨干专业资源建设。</w:t>
      </w:r>
    </w:p>
    <w:p>
      <w:pPr>
        <w:widowControl/>
        <w:shd w:val="clear" w:color="auto" w:fill="FFFFFF"/>
        <w:ind w:firstLine="420"/>
        <w:jc w:val="both"/>
        <w:rPr>
          <w:rFonts w:hint="eastAsia"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rPr>
        <w:t>项目预算</w:t>
      </w:r>
      <w:r>
        <w:rPr>
          <w:rFonts w:hint="eastAsia" w:ascii="仿宋_GB2312" w:hAnsi="仿宋_GB2312" w:eastAsia="仿宋_GB2312" w:cs="仿宋_GB2312"/>
          <w:spacing w:val="9"/>
          <w:sz w:val="28"/>
          <w:szCs w:val="28"/>
          <w:lang w:val="en-US" w:eastAsia="zh-CN"/>
        </w:rPr>
        <w:t>10</w:t>
      </w:r>
      <w:r>
        <w:rPr>
          <w:rFonts w:hint="eastAsia" w:ascii="仿宋_GB2312" w:hAnsi="仿宋_GB2312" w:eastAsia="仿宋_GB2312" w:cs="仿宋_GB2312"/>
          <w:spacing w:val="9"/>
          <w:sz w:val="28"/>
          <w:szCs w:val="28"/>
        </w:rPr>
        <w:t>万元人民币。项目的技术规格、要求和数量等详见第五章。</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资格</w:t>
      </w:r>
      <w:bookmarkEnd w:id="60"/>
      <w:r>
        <w:rPr>
          <w:rFonts w:hint="eastAsia" w:ascii="仿宋_GB2312" w:hAnsi="仿宋_GB2312" w:eastAsia="仿宋_GB2312" w:cs="仿宋_GB2312"/>
          <w:sz w:val="28"/>
          <w:szCs w:val="28"/>
        </w:rPr>
        <w:t>条件</w:t>
      </w:r>
    </w:p>
    <w:p>
      <w:pPr>
        <w:ind w:firstLine="560" w:firstLineChars="200"/>
        <w:jc w:val="both"/>
        <w:rPr>
          <w:rFonts w:hint="eastAsia" w:ascii="仿宋_GB2312" w:hAnsi="仿宋_GB2312" w:eastAsia="仿宋_GB2312" w:cs="仿宋_GB2312"/>
          <w:bCs/>
          <w:snapToGrid w:val="0"/>
          <w:sz w:val="28"/>
          <w:szCs w:val="28"/>
        </w:rPr>
      </w:pPr>
      <w:bookmarkStart w:id="61" w:name="_Toc403987198"/>
      <w:r>
        <w:rPr>
          <w:rFonts w:hint="eastAsia" w:ascii="仿宋_GB2312" w:hAnsi="仿宋_GB2312" w:eastAsia="仿宋_GB2312" w:cs="仿宋_GB2312"/>
          <w:bCs/>
          <w:snapToGrid w:val="0"/>
          <w:sz w:val="28"/>
          <w:szCs w:val="28"/>
        </w:rPr>
        <w:t>3.1 《中华人民共和国政府采购法》规定的条件（并根据《中华人民共和国政府采购法实施条例》提供相关证明材料）：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（1）具有独立承担民事责任的能力（请提供法人或者其他组织的营业执照等证明文件，自然人的身份证明）；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（2）具有良好的商业信誉和健全的财务会计制度（请提供上一年度</w:t>
      </w:r>
      <w:r>
        <w:rPr>
          <w:rFonts w:hint="eastAsia" w:ascii="仿宋_GB2312" w:hAnsi="仿宋_GB2312" w:eastAsia="仿宋_GB2312" w:cs="仿宋_GB2312"/>
          <w:bCs/>
          <w:snapToGrid w:val="0"/>
          <w:sz w:val="28"/>
          <w:szCs w:val="28"/>
          <w:lang w:val="en-US" w:eastAsia="zh-CN"/>
        </w:rPr>
        <w:t>经审计的</w:t>
      </w:r>
      <w:r>
        <w:rPr>
          <w:rFonts w:hint="eastAsia" w:ascii="仿宋_GB2312" w:hAnsi="仿宋_GB2312" w:eastAsia="仿宋_GB2312" w:cs="仿宋_GB2312"/>
          <w:bCs/>
          <w:snapToGrid w:val="0"/>
          <w:sz w:val="28"/>
          <w:szCs w:val="28"/>
        </w:rPr>
        <w:t>财务报告，或供响应文件递交截止时间前六个月中任一个月其基本开户银行出具的资信证明，或财政部门认可的政府采购专业担保机构出具的投标担保函）；</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（3）具有履行合同所必需的设备和专业技术能力（请提供具备履行合同所必需的设备和专业技术能力的证明材料）；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（4）有依法缴纳税收和社会保障资金的良好记录（请提供响应文件递交截止时间前六个月中任一个月纳税的凭据，或依法免税的证明文件</w:t>
      </w:r>
      <w:r>
        <w:rPr>
          <w:rFonts w:hint="eastAsia" w:ascii="仿宋_GB2312" w:hAnsi="仿宋_GB2312" w:eastAsia="仿宋_GB2312" w:cs="仿宋_GB2312"/>
          <w:bCs/>
          <w:snapToGrid w:val="0"/>
          <w:sz w:val="28"/>
          <w:szCs w:val="28"/>
          <w:lang w:val="en-US" w:eastAsia="zh-CN"/>
        </w:rPr>
        <w:t>和</w:t>
      </w:r>
      <w:r>
        <w:rPr>
          <w:rFonts w:hint="eastAsia" w:ascii="仿宋_GB2312" w:hAnsi="仿宋_GB2312" w:eastAsia="仿宋_GB2312" w:cs="仿宋_GB2312"/>
          <w:bCs/>
          <w:snapToGrid w:val="0"/>
          <w:sz w:val="28"/>
          <w:szCs w:val="28"/>
        </w:rPr>
        <w:t>缴纳社会保险的专用收据或社会保险缴纳清单，或不需要缴纳社会保障资金的证明文件）；</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（5）参加政府采购活动仅三年内，在经营活动中没有违法记录（请提供参加政府采购活动近3年内在经营活动中没有违法记录的书面声明）；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（6）法律、行政法规规定的其他条件。</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napToGrid w:val="0"/>
          <w:sz w:val="28"/>
          <w:szCs w:val="28"/>
        </w:rPr>
        <w:t>3.2</w:t>
      </w:r>
      <w:r>
        <w:rPr>
          <w:rFonts w:hint="eastAsia" w:ascii="仿宋_GB2312" w:hAnsi="仿宋_GB2312" w:eastAsia="仿宋_GB2312" w:cs="仿宋_GB2312"/>
          <w:sz w:val="28"/>
          <w:szCs w:val="28"/>
        </w:rPr>
        <w:t>拒绝下述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参加本次采购活动：</w:t>
      </w:r>
    </w:p>
    <w:p>
      <w:pPr>
        <w:autoSpaceDE w:val="0"/>
        <w:autoSpaceDN w:val="0"/>
        <w:snapToGrid w:val="0"/>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单位负责人为同一人或者存在直接控股、管理关系的不同</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，不得参加同一合同项下的政府采购活动。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（2）凡为采购项目提供整体设计、规范编制或者项目管理、监理、检测等服务的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，不得再参加本项目的采购活动。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（3）拒绝列入失信被执行人、重大税收违法案件当事人名单、政府采购严重违法失信行为记录名单的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参与政府采购活动。采购办在</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购买采购文件时，通过“信用中国”网站(www.creditchina.gov.cn)、中国政府采购网(www.ccgp.gov.cn) 、“诚信江苏”网站（www.jiangsu.gov.cn/jsxy/index.htm）等渠道查询</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在采购公告发布之日前的信用记录并保存。联合体成员存在不良信用记录的，视同联合体存在不良信用记录。</w:t>
      </w:r>
    </w:p>
    <w:p>
      <w:pPr>
        <w:autoSpaceDE w:val="0"/>
        <w:autoSpaceDN w:val="0"/>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 xml:space="preserve"> 本项目不接受联合体响应。</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四、竞争性磋商文件发布信息</w:t>
      </w:r>
      <w:bookmarkEnd w:id="61"/>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jc w:val="both"/>
        <w:rPr>
          <w:rFonts w:hint="eastAsia" w:ascii="仿宋_GB2312" w:hAnsi="仿宋_GB2312" w:eastAsia="仿宋_GB2312" w:cs="仿宋_GB2312"/>
          <w:sz w:val="28"/>
          <w:szCs w:val="28"/>
        </w:rPr>
      </w:pPr>
      <w:bookmarkStart w:id="62" w:name="_Toc403987199"/>
      <w:r>
        <w:rPr>
          <w:rFonts w:hint="eastAsia" w:ascii="仿宋_GB2312" w:hAnsi="仿宋_GB2312" w:eastAsia="仿宋_GB2312" w:cs="仿宋_GB2312"/>
          <w:sz w:val="28"/>
          <w:szCs w:val="28"/>
        </w:rPr>
        <w:t>五、响应报名、文件制作、接收及开启信息</w:t>
      </w:r>
      <w:bookmarkEnd w:id="62"/>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（一）响应报名：</w:t>
      </w:r>
    </w:p>
    <w:p>
      <w:pPr>
        <w:pStyle w:val="21"/>
        <w:ind w:firstLine="56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"mailto:凡有意参加投标者，请于2017年7月4日前将投标函发送至邮箱cgb@njitt.edu.cn，采购办不接受没有报名确认的询价文件。"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sz w:val="28"/>
          <w:szCs w:val="28"/>
        </w:rPr>
        <w:t>凡有意参加的响应商，请于2018年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23</w:t>
      </w:r>
      <w:r>
        <w:rPr>
          <w:rFonts w:hint="eastAsia" w:ascii="仿宋_GB2312" w:hAnsi="仿宋_GB2312" w:eastAsia="仿宋_GB2312" w:cs="仿宋_GB2312"/>
          <w:bCs/>
          <w:sz w:val="28"/>
          <w:szCs w:val="28"/>
        </w:rPr>
        <w:t>日前将确认函发送至邮箱cgb@njitt.edu.cn，采购办不接受没有报名确认的响应文件。</w:t>
      </w:r>
      <w:r>
        <w:rPr>
          <w:rFonts w:hint="eastAsia" w:ascii="仿宋_GB2312" w:hAnsi="仿宋_GB2312" w:eastAsia="仿宋_GB2312" w:cs="仿宋_GB2312"/>
          <w:bCs/>
          <w:sz w:val="28"/>
          <w:szCs w:val="28"/>
        </w:rPr>
        <w:fldChar w:fldCharType="end"/>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（二）响应文件制作要求：    </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1、响应文件的密封及标记要求：</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应将响应文件正本和所有副本分别密封在两个文件袋（箱）中（正本一包，副本一包），并在袋（箱）上标明“正本”、“副本”字样，封口处应加盖骑缝章或授权代表签字。</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2、封面格式为：</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（l）采购编号及项目名称：</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w:t>
      </w: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的名称、地址、联系人、电话和传真：</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3、响应文件正、副本均须胶装，正本份数：1份，副本份数：2份。</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（三）响应文件接收时间：2018年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下午2：00</w:t>
      </w:r>
      <w:r>
        <w:rPr>
          <w:rFonts w:hint="eastAsia" w:ascii="仿宋_GB2312" w:hAnsi="仿宋_GB2312" w:eastAsia="仿宋_GB2312" w:cs="仿宋_GB2312"/>
          <w:bCs/>
          <w:sz w:val="28"/>
          <w:szCs w:val="28"/>
        </w:rPr>
        <w:t xml:space="preserve"> </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（四）响应文件递交截止时间及开启时间：2018年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下午2</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 xml:space="preserve">0 </w:t>
      </w:r>
      <w:bookmarkStart w:id="119" w:name="_GoBack"/>
      <w:bookmarkEnd w:id="119"/>
    </w:p>
    <w:p>
      <w:pPr>
        <w:pStyle w:val="21"/>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响应文件接收及开启地点：南京市江宁区龙眠大道629号南京交通职业技术学院弘毅楼217。</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提交响应文件截止时间过后，采购办组织专家与响应商进行磋商，请响应商法定代表人或其授权委托代表出席。</w:t>
      </w:r>
    </w:p>
    <w:p>
      <w:pPr>
        <w:pStyle w:val="19"/>
        <w:numPr>
          <w:ilvl w:val="0"/>
          <w:numId w:val="0"/>
        </w:numPr>
        <w:jc w:val="both"/>
        <w:rPr>
          <w:rFonts w:hint="eastAsia" w:ascii="仿宋_GB2312" w:hAnsi="仿宋_GB2312" w:eastAsia="仿宋_GB2312" w:cs="仿宋_GB2312"/>
          <w:sz w:val="28"/>
          <w:szCs w:val="28"/>
        </w:rPr>
      </w:pPr>
      <w:bookmarkStart w:id="63" w:name="_Toc403987201"/>
      <w:r>
        <w:rPr>
          <w:rFonts w:hint="eastAsia" w:ascii="仿宋_GB2312" w:hAnsi="仿宋_GB2312" w:eastAsia="仿宋_GB2312" w:cs="仿宋_GB2312"/>
          <w:sz w:val="28"/>
          <w:szCs w:val="28"/>
        </w:rPr>
        <w:t>六、磋商保证金及磋商文件工本费</w:t>
      </w:r>
    </w:p>
    <w:p>
      <w:pPr>
        <w:pStyle w:val="19"/>
        <w:numPr>
          <w:ilvl w:val="0"/>
          <w:numId w:val="0"/>
        </w:numPr>
        <w:ind w:firstLine="560" w:firstLineChars="200"/>
        <w:jc w:val="both"/>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rPr>
        <w:t>磋商保证金：人民币壹千圆整  (现金密封好，现场递交)， 成交后转为履约保证金（履约保证金不足部分按合同规定金额补齐）。未能按合同及采购文件要求提供产品及服务，验收，质检不合格将扣除履约保证金。</w:t>
      </w:r>
      <w:r>
        <w:rPr>
          <w:rFonts w:hint="eastAsia" w:ascii="仿宋_GB2312" w:hAnsi="仿宋_GB2312" w:eastAsia="仿宋_GB2312" w:cs="仿宋_GB2312"/>
          <w:sz w:val="28"/>
          <w:szCs w:val="28"/>
        </w:rPr>
        <w:t>文件工本费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200元，现场缴纳。</w:t>
      </w:r>
    </w:p>
    <w:p>
      <w:pPr>
        <w:pStyle w:val="19"/>
        <w:numPr>
          <w:ilvl w:val="1"/>
          <w:numId w:val="0"/>
        </w:numPr>
        <w:shd w:val="clear" w:color="auto"/>
        <w:ind w:leftChars="-350" w:firstLine="1405" w:firstLineChars="5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auto"/>
          <w:lang w:val="en-US" w:eastAsia="zh-CN"/>
        </w:rPr>
        <w:t>七、</w:t>
      </w:r>
      <w:r>
        <w:rPr>
          <w:rFonts w:hint="eastAsia" w:ascii="仿宋_GB2312" w:hAnsi="仿宋_GB2312" w:eastAsia="仿宋_GB2312" w:cs="仿宋_GB2312"/>
          <w:sz w:val="28"/>
          <w:szCs w:val="28"/>
        </w:rPr>
        <w:t>本次竞争性磋商联系事项</w:t>
      </w:r>
      <w:bookmarkEnd w:id="63"/>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采购办：</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联系人：刘老师（男）</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联系电话：025-86115873</w:t>
      </w:r>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采购委托部门：</w:t>
      </w:r>
      <w:r>
        <w:rPr>
          <w:rFonts w:hint="eastAsia" w:ascii="仿宋_GB2312" w:hAnsi="仿宋_GB2312" w:eastAsia="仿宋_GB2312" w:cs="仿宋_GB2312"/>
          <w:b/>
          <w:sz w:val="28"/>
          <w:szCs w:val="28"/>
          <w:lang w:val="en-US" w:eastAsia="zh-CN"/>
        </w:rPr>
        <w:t>运输管理学院</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val="en-US" w:eastAsia="zh-CN"/>
        </w:rPr>
        <w:t>刘</w:t>
      </w:r>
      <w:r>
        <w:rPr>
          <w:rFonts w:hint="eastAsia" w:ascii="仿宋_GB2312" w:hAnsi="仿宋_GB2312" w:eastAsia="仿宋_GB2312" w:cs="仿宋_GB2312"/>
          <w:sz w:val="28"/>
          <w:szCs w:val="28"/>
        </w:rPr>
        <w:t>老师</w:t>
      </w:r>
    </w:p>
    <w:p>
      <w:pPr>
        <w:pStyle w:val="20"/>
        <w:numPr>
          <w:ilvl w:val="2"/>
          <w:numId w:val="0"/>
        </w:numPr>
        <w:ind w:firstLine="560" w:firstLineChars="200"/>
        <w:jc w:val="both"/>
        <w:rPr>
          <w:rFonts w:hint="eastAsia" w:ascii="仿宋_GB2312" w:hAnsi="仿宋_GB2312" w:eastAsia="仿宋_GB2312" w:cs="仿宋_GB2312"/>
          <w:b w:val="0"/>
          <w:bCs/>
          <w:color w:val="auto"/>
          <w:sz w:val="28"/>
          <w:szCs w:val="28"/>
          <w:lang w:val="en-US" w:eastAsia="zh-CN" w:bidi="ar-SA"/>
        </w:rPr>
      </w:pPr>
      <w:r>
        <w:rPr>
          <w:rFonts w:hint="eastAsia" w:ascii="仿宋_GB2312" w:hAnsi="仿宋_GB2312" w:eastAsia="仿宋_GB2312" w:cs="仿宋_GB2312"/>
          <w:b w:val="0"/>
          <w:bCs/>
          <w:color w:val="auto"/>
          <w:sz w:val="28"/>
          <w:szCs w:val="28"/>
          <w:lang w:val="en-US" w:eastAsia="zh-CN" w:bidi="ar-SA"/>
        </w:rPr>
        <w:t>联系电话：025-86115400</w:t>
      </w:r>
    </w:p>
    <w:p>
      <w:pPr>
        <w:pStyle w:val="21"/>
        <w:ind w:firstLine="0" w:firstLineChars="0"/>
        <w:jc w:val="both"/>
        <w:rPr>
          <w:rFonts w:hint="eastAsia" w:ascii="仿宋_GB2312" w:hAnsi="仿宋_GB2312" w:eastAsia="仿宋_GB2312" w:cs="仿宋_GB2312"/>
          <w:b/>
          <w:color w:val="auto"/>
          <w:sz w:val="28"/>
          <w:szCs w:val="28"/>
        </w:rPr>
      </w:pPr>
      <w:bookmarkStart w:id="64" w:name="_Toc304906076"/>
      <w:r>
        <w:rPr>
          <w:rFonts w:hint="eastAsia" w:ascii="仿宋_GB2312" w:hAnsi="仿宋_GB2312" w:eastAsia="仿宋_GB2312" w:cs="仿宋_GB2312"/>
          <w:b/>
          <w:color w:val="auto"/>
          <w:sz w:val="28"/>
          <w:szCs w:val="28"/>
        </w:rPr>
        <w:br w:type="page"/>
      </w:r>
    </w:p>
    <w:p>
      <w:pPr>
        <w:pStyle w:val="2"/>
        <w:keepNext w:val="0"/>
        <w:keepLines w:val="0"/>
        <w:jc w:val="center"/>
        <w:rPr>
          <w:rFonts w:hint="eastAsia" w:ascii="仿宋_GB2312" w:hAnsi="仿宋_GB2312" w:eastAsia="仿宋_GB2312" w:cs="仿宋_GB2312"/>
          <w:sz w:val="28"/>
          <w:szCs w:val="28"/>
        </w:rPr>
      </w:pPr>
      <w:bookmarkStart w:id="65" w:name="_Toc19376"/>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商须知</w:t>
      </w:r>
      <w:bookmarkEnd w:id="65"/>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66" w:name="_Toc513029237"/>
      <w:bookmarkStart w:id="67" w:name="_Toc16938553"/>
      <w:bookmarkStart w:id="68" w:name="_Toc20823309"/>
      <w:r>
        <w:rPr>
          <w:rFonts w:hint="eastAsia" w:ascii="仿宋_GB2312" w:hAnsi="仿宋_GB2312" w:eastAsia="仿宋_GB2312" w:cs="仿宋_GB2312"/>
          <w:b/>
          <w:bCs/>
          <w:sz w:val="28"/>
          <w:szCs w:val="28"/>
          <w:lang w:val="zh-CN"/>
        </w:rPr>
        <w:t>一、总    则</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69" w:name="_Toc8689"/>
      <w:bookmarkStart w:id="70" w:name="_Toc487210474"/>
      <w:r>
        <w:rPr>
          <w:rFonts w:hint="eastAsia" w:ascii="仿宋_GB2312" w:hAnsi="仿宋_GB2312" w:eastAsia="仿宋_GB2312" w:cs="仿宋_GB2312"/>
          <w:b/>
          <w:sz w:val="28"/>
          <w:szCs w:val="28"/>
          <w:lang w:val="zh-CN"/>
        </w:rPr>
        <w:t>1、适用法律</w:t>
      </w:r>
      <w:bookmarkEnd w:id="69"/>
      <w:bookmarkEnd w:id="70"/>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 《中华人民共和国政府采购法》、《中华人民共和国政府采购法实施条例》、《政府采购非招标方式管理办法》等有关法律、规章和规定等。</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71" w:name="_Toc15787"/>
      <w:bookmarkStart w:id="72" w:name="_Toc487210475"/>
      <w:r>
        <w:rPr>
          <w:rFonts w:hint="eastAsia" w:ascii="仿宋_GB2312" w:hAnsi="仿宋_GB2312" w:eastAsia="仿宋_GB2312" w:cs="仿宋_GB2312"/>
          <w:b/>
          <w:sz w:val="28"/>
          <w:szCs w:val="28"/>
          <w:lang w:val="zh-CN"/>
        </w:rPr>
        <w:t>2、定义</w:t>
      </w:r>
      <w:bookmarkEnd w:id="71"/>
      <w:bookmarkEnd w:id="72"/>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2.1 “</w:t>
      </w:r>
      <w:r>
        <w:rPr>
          <w:rFonts w:hint="eastAsia" w:ascii="仿宋_GB2312" w:hAnsi="仿宋_GB2312" w:eastAsia="仿宋_GB2312" w:cs="仿宋_GB2312"/>
          <w:b/>
          <w:sz w:val="28"/>
          <w:szCs w:val="28"/>
          <w:lang w:val="zh-CN"/>
        </w:rPr>
        <w:t>响应商</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是指参加磋商竞争，并符合采购文件规定资格条件的法人、其他组织或者自然人。</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2.2 “服务”指本采购文件中所述</w:t>
      </w:r>
      <w:r>
        <w:rPr>
          <w:rFonts w:hint="eastAsia" w:ascii="仿宋_GB2312" w:hAnsi="仿宋_GB2312" w:eastAsia="仿宋_GB2312" w:cs="仿宋_GB2312"/>
          <w:b/>
          <w:sz w:val="28"/>
          <w:szCs w:val="28"/>
          <w:lang w:val="zh-CN"/>
        </w:rPr>
        <w:t>产品</w:t>
      </w:r>
      <w:r>
        <w:rPr>
          <w:rFonts w:hint="eastAsia" w:ascii="仿宋_GB2312" w:hAnsi="仿宋_GB2312" w:eastAsia="仿宋_GB2312" w:cs="仿宋_GB2312"/>
          <w:sz w:val="28"/>
          <w:szCs w:val="28"/>
          <w:lang w:val="zh-CN"/>
        </w:rPr>
        <w:t>及相关服务。</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2.3 “用户或使用单位”是指使用服务的单位。</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3、政策功能</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3.1政府采购促进中小企业发展，</w:t>
      </w:r>
      <w:r>
        <w:rPr>
          <w:rFonts w:hint="eastAsia" w:ascii="仿宋_GB2312" w:hAnsi="仿宋_GB2312" w:eastAsia="仿宋_GB2312" w:cs="仿宋_GB2312"/>
          <w:b/>
          <w:bCs/>
          <w:sz w:val="28"/>
          <w:szCs w:val="28"/>
        </w:rPr>
        <w:t>小型、微型企业提供本企业制造的货物、承担的工程或者服务，</w:t>
      </w:r>
      <w:r>
        <w:rPr>
          <w:rFonts w:hint="eastAsia" w:ascii="仿宋_GB2312" w:hAnsi="仿宋_GB2312" w:eastAsia="仿宋_GB2312" w:cs="仿宋_GB2312"/>
          <w:sz w:val="28"/>
          <w:szCs w:val="28"/>
        </w:rPr>
        <w:t>或者提供其他中小企业制造的货物在</w:t>
      </w:r>
      <w:r>
        <w:rPr>
          <w:rFonts w:hint="eastAsia" w:ascii="仿宋_GB2312" w:hAnsi="仿宋_GB2312" w:eastAsia="仿宋_GB2312" w:cs="仿宋_GB2312"/>
          <w:sz w:val="28"/>
          <w:szCs w:val="28"/>
          <w:lang w:eastAsia="zh-CN"/>
        </w:rPr>
        <w:t>磋商</w:t>
      </w:r>
      <w:r>
        <w:rPr>
          <w:rFonts w:hint="eastAsia" w:ascii="仿宋_GB2312" w:hAnsi="仿宋_GB2312" w:eastAsia="仿宋_GB2312" w:cs="仿宋_GB2312"/>
          <w:sz w:val="28"/>
          <w:szCs w:val="28"/>
        </w:rPr>
        <w:t>时将获得优势（</w:t>
      </w:r>
      <w:r>
        <w:rPr>
          <w:rFonts w:hint="eastAsia" w:ascii="仿宋_GB2312" w:hAnsi="仿宋_GB2312" w:eastAsia="仿宋_GB2312" w:cs="仿宋_GB2312"/>
          <w:b/>
          <w:bCs/>
          <w:sz w:val="28"/>
          <w:szCs w:val="28"/>
        </w:rPr>
        <w:t>本项所称货物不包括使用大型企业注册商标的货物）。参加投标的中小企业，应当提供《中小企业声明函》（“</w:t>
      </w:r>
      <w:r>
        <w:rPr>
          <w:rFonts w:hint="eastAsia" w:ascii="仿宋_GB2312" w:hAnsi="仿宋_GB2312" w:eastAsia="仿宋_GB2312" w:cs="仿宋_GB2312"/>
          <w:sz w:val="28"/>
          <w:szCs w:val="28"/>
        </w:rPr>
        <w:t>中小企业划型标准”详见政策法规</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关于印发中小企业划型标准规定的通知》工信部联企业〔2011〕300号</w:t>
      </w:r>
      <w:r>
        <w:rPr>
          <w:rFonts w:hint="eastAsia" w:ascii="仿宋_GB2312" w:hAnsi="仿宋_GB2312" w:eastAsia="仿宋_GB2312" w:cs="仿宋_GB2312"/>
          <w:b/>
          <w:bCs/>
          <w:sz w:val="28"/>
          <w:szCs w:val="28"/>
        </w:rPr>
        <w:t>）和</w:t>
      </w:r>
      <w:r>
        <w:rPr>
          <w:rFonts w:hint="eastAsia" w:ascii="仿宋_GB2312" w:hAnsi="仿宋_GB2312" w:eastAsia="仿宋_GB2312" w:cs="仿宋_GB2312"/>
          <w:b/>
          <w:bCs/>
          <w:sz w:val="28"/>
          <w:szCs w:val="28"/>
          <w:lang w:eastAsia="zh-CN"/>
        </w:rPr>
        <w:t>响应商</w:t>
      </w:r>
      <w:r>
        <w:rPr>
          <w:rFonts w:hint="eastAsia" w:ascii="仿宋_GB2312" w:hAnsi="仿宋_GB2312" w:eastAsia="仿宋_GB2312" w:cs="仿宋_GB2312"/>
          <w:b/>
          <w:bCs/>
          <w:sz w:val="28"/>
          <w:szCs w:val="28"/>
        </w:rPr>
        <w:t>所在地的县级以</w:t>
      </w:r>
      <w:r>
        <w:rPr>
          <w:rFonts w:hint="eastAsia" w:ascii="仿宋_GB2312" w:hAnsi="仿宋_GB2312" w:eastAsia="仿宋_GB2312" w:cs="仿宋_GB2312"/>
          <w:sz w:val="28"/>
          <w:szCs w:val="28"/>
        </w:rPr>
        <w:t>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w:t>
      </w:r>
      <w:r>
        <w:rPr>
          <w:rFonts w:hint="eastAsia" w:ascii="仿宋_GB2312" w:hAnsi="仿宋_GB2312" w:eastAsia="仿宋_GB2312" w:cs="仿宋_GB2312"/>
          <w:b/>
          <w:bCs/>
          <w:sz w:val="28"/>
          <w:szCs w:val="28"/>
        </w:rPr>
        <w:t>，如未按要求填写和提供有效证明或相关内容表述不清的，不得享受价格扣除。</w:t>
      </w:r>
    </w:p>
    <w:p>
      <w:pPr>
        <w:autoSpaceDE w:val="0"/>
        <w:autoSpaceDN w:val="0"/>
        <w:snapToGrid w:val="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二、响应文件编制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5、</w:t>
      </w:r>
      <w:r>
        <w:rPr>
          <w:rFonts w:hint="eastAsia" w:ascii="仿宋_GB2312" w:hAnsi="仿宋_GB2312" w:eastAsia="仿宋_GB2312" w:cs="仿宋_GB2312"/>
          <w:sz w:val="28"/>
          <w:szCs w:val="28"/>
          <w:lang w:val="zh-CN"/>
        </w:rPr>
        <w:t>响应商应当按照磋商文件的要求编制响应文件，并对其提交的响应文件真实性、合法性承担法律责任。</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6、响应文件的语言、计量单位、货币和编制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 提交的响应文件、技术文件和资料，包括图纸中的说明，以及响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6.2 响应商所使用的计量单位应为国家法定计量单位。</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6.3 响应商应用人民币报价。</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6.4 响应文件应字迹清楚、内容齐全、不得涂改。如有修改，修改处须有响应商公章或法定代表人或其授权磋商代表签字。</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6.5 响应文件应按照磋商文件规定的顺序，统一用A4规格幅面打印、装订成册并编制目录，由于编排混乱导致响应文件被误读或查找不到，责任由响应商承担。</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6.6 响应商应在响应文件中写清相应的项目编号、项目名称、响应商名称、地址、电话、传真等。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7、响应文件的组成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7.1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应当根据磋商文件要求编制响应文件，并根据自己的商务能力、技术水平对磋商文件提出的要求和条件逐条标明是否响应。</w:t>
      </w:r>
      <w:r>
        <w:rPr>
          <w:rFonts w:hint="eastAsia" w:ascii="仿宋_GB2312" w:hAnsi="仿宋_GB2312" w:eastAsia="仿宋_GB2312" w:cs="仿宋_GB2312"/>
          <w:sz w:val="28"/>
          <w:szCs w:val="28"/>
          <w:lang w:val="zh-CN"/>
        </w:rPr>
        <w:t>响应文件由商务部分、技术部分、价格部分，以及其他部分组成。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7.2 </w:t>
      </w:r>
      <w:r>
        <w:rPr>
          <w:rFonts w:hint="eastAsia" w:ascii="仿宋_GB2312" w:hAnsi="仿宋_GB2312" w:eastAsia="仿宋_GB2312" w:cs="仿宋_GB2312"/>
          <w:b/>
          <w:bCs/>
          <w:sz w:val="28"/>
          <w:szCs w:val="28"/>
          <w:lang w:val="zh-CN"/>
        </w:rPr>
        <w:t>响应文件的商务部分。</w:t>
      </w:r>
      <w:r>
        <w:rPr>
          <w:rFonts w:hint="eastAsia" w:ascii="仿宋_GB2312" w:hAnsi="仿宋_GB2312" w:eastAsia="仿宋_GB2312" w:cs="仿宋_GB2312"/>
          <w:sz w:val="28"/>
          <w:szCs w:val="28"/>
          <w:lang w:val="zh-CN"/>
        </w:rPr>
        <w:t>商务部分是证明响应商有资格参加磋商和成交后有能力履行合同的文件，</w:t>
      </w:r>
      <w:r>
        <w:rPr>
          <w:rFonts w:hint="eastAsia" w:ascii="仿宋_GB2312" w:hAnsi="仿宋_GB2312" w:eastAsia="仿宋_GB2312" w:cs="仿宋_GB2312"/>
          <w:sz w:val="28"/>
          <w:szCs w:val="28"/>
        </w:rPr>
        <w:t>这些文件应能满足竞争性磋商采购文件的要求</w:t>
      </w:r>
      <w:r>
        <w:rPr>
          <w:rFonts w:hint="eastAsia" w:ascii="仿宋_GB2312" w:hAnsi="仿宋_GB2312" w:eastAsia="仿宋_GB2312" w:cs="仿宋_GB2312"/>
          <w:sz w:val="28"/>
          <w:szCs w:val="28"/>
          <w:lang w:val="zh-CN"/>
        </w:rPr>
        <w:t>，包括但不限于下列文件，其中加</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项目不得有缺失或无效：</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磋商申请及声明；</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 xml:space="preserve">法定代表人授权委托书及委托代理人的身份证明文件的复印件； </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3.1</w:t>
      </w:r>
      <w:r>
        <w:rPr>
          <w:rFonts w:hint="eastAsia" w:ascii="仿宋_GB2312" w:hAnsi="仿宋_GB2312" w:eastAsia="仿宋_GB2312" w:cs="仿宋_GB2312"/>
          <w:sz w:val="28"/>
          <w:szCs w:val="28"/>
          <w:lang w:val="zh-CN"/>
        </w:rPr>
        <w:t>《中华人民共和国政府采购法》规定的资格条件证明文件；</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3.2 采购人根据采购项目的特殊要求规定的特定条件证明文件；</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《分项报价表》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（6）《商务条款偏离表》；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）合同草案条款；</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提供的其他资格证明文件和商务资料。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7.3 </w:t>
      </w:r>
      <w:r>
        <w:rPr>
          <w:rFonts w:hint="eastAsia" w:ascii="仿宋_GB2312" w:hAnsi="仿宋_GB2312" w:eastAsia="仿宋_GB2312" w:cs="仿宋_GB2312"/>
          <w:b/>
          <w:bCs/>
          <w:sz w:val="28"/>
          <w:szCs w:val="28"/>
          <w:lang w:val="zh-CN"/>
        </w:rPr>
        <w:t>响应文件的技术部分。</w:t>
      </w:r>
      <w:r>
        <w:rPr>
          <w:rFonts w:hint="eastAsia" w:ascii="仿宋_GB2312" w:hAnsi="仿宋_GB2312" w:eastAsia="仿宋_GB2312" w:cs="仿宋_GB2312"/>
          <w:sz w:val="28"/>
          <w:szCs w:val="28"/>
          <w:lang w:val="zh-CN"/>
        </w:rPr>
        <w:t>技术部分是证明</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提供的服务是合格的，并符合磋商文件要求的证明文件，以及</w:t>
      </w:r>
      <w:r>
        <w:rPr>
          <w:rFonts w:hint="eastAsia" w:ascii="仿宋_GB2312" w:hAnsi="仿宋_GB2312" w:eastAsia="仿宋_GB2312" w:cs="仿宋_GB2312"/>
          <w:sz w:val="28"/>
          <w:szCs w:val="28"/>
          <w:lang w:val="zh-CN"/>
        </w:rPr>
        <w:t>对服务的详细说明，这些文件可以是文字资料、图纸和数据等。提供的服务如与磋商文件要求有不符之处，应说明其差别之所在。包括但不限于下列文件，其中加</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项目不得有缺失或无效：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货物或服务的详细说明</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《技术条款偏离表》；</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磋商项目主要产品一览表</w:t>
      </w:r>
      <w:r>
        <w:rPr>
          <w:rFonts w:hint="eastAsia" w:ascii="仿宋_GB2312" w:hAnsi="仿宋_GB2312" w:eastAsia="仿宋_GB2312" w:cs="仿宋_GB2312"/>
          <w:b/>
          <w:sz w:val="28"/>
          <w:szCs w:val="28"/>
        </w:rPr>
        <w:t>》（如果本项目具有产品的话必须填写）；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（4）《供货一览表》；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（5）货物安装、验收标准、货物技术资料；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（6）项目集成（实施）方案；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服务承诺；</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提供的其他技术资料。</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 xml:space="preserve">7.4 </w:t>
      </w:r>
      <w:r>
        <w:rPr>
          <w:rFonts w:hint="eastAsia" w:ascii="仿宋_GB2312" w:hAnsi="仿宋_GB2312" w:eastAsia="仿宋_GB2312" w:cs="仿宋_GB2312"/>
          <w:b/>
          <w:sz w:val="28"/>
          <w:szCs w:val="28"/>
          <w:lang w:val="zh-CN"/>
        </w:rPr>
        <w:t>响应文件的价格部分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（1）价格部分是对服务价格构成的说明，磋商文件如没有特别说明的话，对每一项服务仅接受一个价格。</w:t>
      </w:r>
    </w:p>
    <w:p>
      <w:pPr>
        <w:autoSpaceDE w:val="0"/>
        <w:autoSpaceDN w:val="0"/>
        <w:snapToGrid w:val="0"/>
        <w:ind w:firstLine="644" w:firstLineChars="23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（2）报价应包含完成本服务项目发生的所有含税费用、支付给员工的工资和国家强制缴纳的各种社会保障资金</w:t>
      </w:r>
      <w:r>
        <w:rPr>
          <w:rFonts w:hint="eastAsia" w:ascii="仿宋_GB2312" w:hAnsi="仿宋_GB2312" w:eastAsia="仿宋_GB2312" w:cs="仿宋_GB2312"/>
          <w:bCs/>
          <w:sz w:val="28"/>
          <w:szCs w:val="28"/>
        </w:rPr>
        <w:t>，以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lang w:val="zh-CN"/>
        </w:rPr>
        <w:t>响应商应充分考虑到市场价格变动，以及项目实施过程中的不可预见因素，一旦成交，总价格不变。如果有漏项，视同让利。</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（4）</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7.5 </w:t>
      </w:r>
      <w:r>
        <w:rPr>
          <w:rFonts w:hint="eastAsia" w:ascii="仿宋_GB2312" w:hAnsi="仿宋_GB2312" w:eastAsia="仿宋_GB2312" w:cs="仿宋_GB2312"/>
          <w:b/>
          <w:sz w:val="28"/>
          <w:szCs w:val="28"/>
          <w:lang w:val="zh-CN"/>
        </w:rPr>
        <w:t>响应文件的其他部分。</w:t>
      </w:r>
      <w:r>
        <w:rPr>
          <w:rFonts w:hint="eastAsia" w:ascii="仿宋_GB2312" w:hAnsi="仿宋_GB2312" w:eastAsia="仿宋_GB2312" w:cs="仿宋_GB2312"/>
          <w:sz w:val="28"/>
          <w:szCs w:val="28"/>
          <w:lang w:val="zh-CN"/>
        </w:rPr>
        <w:t>其他部分由响应商根据编制响应文件需要提供的其他相关文件。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8、磋商保证金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8.1 响应商应按照要求提交磋商保证金，并作为其响应文件的一部分。磋商保证金是为了保护采购人免遭因响应商的行为而蒙受的损失，采购办在因响应商的行为受到损害时，磋商保证金将不予退还。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 xml:space="preserve"> 下列任何情况发生时，磋商保证金不予退还：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（1）成交通知书发出后三十日内，成交响应商未与采购人签订合同的；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（2）提供虚假材料谋取成交的；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（3）经查实与采购人、其他响应商或者采购办恶意串通的等。</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3" w:name="_Toc18136"/>
      <w:bookmarkStart w:id="74" w:name="_Toc487210477"/>
      <w:r>
        <w:rPr>
          <w:rFonts w:hint="eastAsia" w:ascii="仿宋_GB2312" w:hAnsi="仿宋_GB2312" w:eastAsia="仿宋_GB2312" w:cs="仿宋_GB2312"/>
          <w:b/>
          <w:bCs/>
          <w:sz w:val="28"/>
          <w:szCs w:val="28"/>
          <w:lang w:val="zh-CN"/>
        </w:rPr>
        <w:t>三、响应文件签署与提交</w:t>
      </w:r>
      <w:bookmarkEnd w:id="73"/>
      <w:bookmarkEnd w:id="74"/>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9、响应文件签署</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9.1 响应文件应由响应商法定代表人或授权代表签字，并加盖公章。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9.2 响应商应当在磋商文件要求提交响应文件的截止时间前，将响应文件密封送达指定地点。</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Cs/>
          <w:sz w:val="28"/>
          <w:szCs w:val="28"/>
          <w:lang w:val="zh-CN"/>
        </w:rPr>
        <w:t xml:space="preserve">9.3 </w:t>
      </w:r>
      <w:r>
        <w:rPr>
          <w:rFonts w:hint="eastAsia" w:ascii="仿宋_GB2312" w:hAnsi="仿宋_GB2312" w:eastAsia="仿宋_GB2312" w:cs="仿宋_GB2312"/>
          <w:b/>
          <w:bCs/>
          <w:sz w:val="28"/>
          <w:szCs w:val="28"/>
          <w:lang w:val="zh-CN"/>
        </w:rPr>
        <w:t>有下列情形之一的响应文件将拒收：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（1）未按竞争性磋商邀请规定的数额和办法交纳磋商保证金的；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（2）在磋商文件要求提交响应文件的截止时间之后送达的等。</w:t>
      </w:r>
    </w:p>
    <w:p>
      <w:pPr>
        <w:autoSpaceDE w:val="0"/>
        <w:autoSpaceDN w:val="0"/>
        <w:snapToGrid w:val="0"/>
        <w:ind w:firstLine="562"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四、磋商</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10</w:t>
      </w:r>
      <w:r>
        <w:rPr>
          <w:rFonts w:hint="eastAsia" w:ascii="仿宋_GB2312" w:hAnsi="仿宋_GB2312" w:eastAsia="仿宋_GB2312" w:cs="仿宋_GB2312"/>
          <w:b/>
          <w:bCs/>
          <w:sz w:val="28"/>
          <w:szCs w:val="28"/>
          <w:lang w:val="zh-CN"/>
        </w:rPr>
        <w:t>、联合体</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 xml:space="preserve">10.1 </w:t>
      </w:r>
      <w:r>
        <w:rPr>
          <w:rFonts w:hint="eastAsia" w:ascii="仿宋_GB2312" w:hAnsi="仿宋_GB2312" w:eastAsia="仿宋_GB2312" w:cs="仿宋_GB2312"/>
          <w:sz w:val="28"/>
          <w:szCs w:val="28"/>
        </w:rPr>
        <w:t>两个以上的自然人、法人或者其他组织可以组成一个联合体，以一个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的身份共同参加政府采购。</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10.2 鼓励大中型企业和其他自然人、法人或者其他组织与小型、微型企业组成联合体共同参加非专门面向中小企业的政府采购活动。</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10.3 以联合体形式参加采购的，</w:t>
      </w:r>
      <w:r>
        <w:rPr>
          <w:rFonts w:hint="eastAsia" w:ascii="仿宋_GB2312" w:hAnsi="仿宋_GB2312" w:eastAsia="仿宋_GB2312" w:cs="仿宋_GB2312"/>
          <w:b/>
          <w:sz w:val="28"/>
          <w:szCs w:val="28"/>
        </w:rPr>
        <w:t>联合体各方均应当符合政府采购法第二十二条第一款规定的条件；采购人根据采购项目的特殊要求规定</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特定条件的，联合体各方中至少应当有一方符合采购人规定的特定条件</w:t>
      </w:r>
      <w:r>
        <w:rPr>
          <w:rFonts w:hint="eastAsia" w:ascii="仿宋_GB2312" w:hAnsi="仿宋_GB2312" w:eastAsia="仿宋_GB2312" w:cs="仿宋_GB2312"/>
          <w:sz w:val="28"/>
          <w:szCs w:val="28"/>
        </w:rPr>
        <w:t>。由同一专业的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组成的联合体，联合体中有同类资质的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按照联合体分工承担相同工作的，按照资质等级较低的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确定资质等级，并以响应全权代表方的应答材料作为商务评审的依据。由不同专业的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组成联合体，首先以响应全权代表方的应答材料作为认定资质以及商务评审的依据，涉及行业专属的资质，按照所属行业对应的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的应答材料确定。</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10.4 联合体各方之间应当签订联合体协议，明确约定联合体各方承担的工作和相应的责任，并将联合体协议连同响应文件一并提交。</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rPr>
        <w:t>10.5 以联合体形式参加政府采购活动的，联合体各方不得再单独参加或者与其他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另外组成联合体参加同一合同项下的政府采购活动。</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11、磋商组织</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11.1 在提交响应文件时间截止后，采购办在规定的时间和地点组织磋商小组分别与响应商进行磋商。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11.2 磋商工作由采购办负责组织，具体磋商事务由依法组建的磋商小组负责。</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12、磋商程序</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12.1 磋商小组评审响应商所递交的响应文件，</w:t>
      </w:r>
      <w:r>
        <w:rPr>
          <w:rFonts w:hint="eastAsia" w:ascii="仿宋_GB2312" w:hAnsi="仿宋_GB2312" w:eastAsia="仿宋_GB2312" w:cs="仿宋_GB2312"/>
          <w:sz w:val="28"/>
          <w:szCs w:val="28"/>
        </w:rPr>
        <w:t>并根据磋商文件规定的程序、评定成交的标准等事项与实质性响应磋商文件要求的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进行磋商。未实质性响应磋商文件的响应文件按无效处理，磋商小组应将告知有关</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12.2 磋商小组所有成员集中与单一响应商分别进行磋商，所有参加磋商的响应商均有同等的磋商机会。</w:t>
      </w:r>
    </w:p>
    <w:p>
      <w:pPr>
        <w:autoSpaceDE w:val="0"/>
        <w:autoSpaceDN w:val="0"/>
        <w:snapToGrid w:val="0"/>
        <w:ind w:firstLine="420"/>
        <w:jc w:val="both"/>
        <w:rPr>
          <w:rFonts w:hint="eastAsia" w:ascii="仿宋_GB2312" w:hAnsi="仿宋_GB2312" w:eastAsia="仿宋_GB2312" w:cs="仿宋_GB2312"/>
          <w:b/>
          <w:bCs/>
          <w:color w:val="FF0000"/>
          <w:sz w:val="28"/>
          <w:szCs w:val="28"/>
          <w:lang w:val="zh-CN"/>
        </w:rPr>
      </w:pPr>
      <w:r>
        <w:rPr>
          <w:rFonts w:hint="eastAsia" w:ascii="仿宋_GB2312" w:hAnsi="仿宋_GB2312" w:eastAsia="仿宋_GB2312" w:cs="仿宋_GB2312"/>
          <w:sz w:val="28"/>
          <w:szCs w:val="28"/>
          <w:lang w:val="zh-CN"/>
        </w:rPr>
        <w:t>12.3 磋商过程中，磋商小组根据磋商文件和磋商情况可能实质性变动采购需求中的技术、服务要求以及合同草案条款。实质性变动是磋商文件的有效组成部分，磋商小组将以书面形式通知所有参加磋商的响应商。</w:t>
      </w:r>
      <w:r>
        <w:rPr>
          <w:rFonts w:hint="eastAsia" w:ascii="仿宋_GB2312" w:hAnsi="仿宋_GB2312" w:eastAsia="仿宋_GB2312" w:cs="仿宋_GB2312"/>
          <w:b/>
          <w:bCs/>
          <w:sz w:val="28"/>
          <w:szCs w:val="28"/>
          <w:lang w:val="zh-CN"/>
        </w:rPr>
        <w:t>用“★”加注或特别说明的内容为实质性要求。</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12.4 响应商应当按照磋商文件的变动情况和磋商小组的要求重新提交响应文件，并由其法定代表人或授权代表签字或者加盖公章。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12.5 磋商结束后，磋商小组将要求所有继续参加磋商的响应商在规定时间内提交最后报价。最后报价由其法定代表人或授权代表签字或者加盖公章，最后报价是响应商响应文件的有效组成部分。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12.6 </w:t>
      </w:r>
      <w:r>
        <w:rPr>
          <w:rFonts w:hint="eastAsia" w:ascii="仿宋_GB2312" w:hAnsi="仿宋_GB2312" w:eastAsia="仿宋_GB2312" w:cs="仿宋_GB2312"/>
          <w:sz w:val="28"/>
          <w:szCs w:val="28"/>
        </w:rPr>
        <w:t>已提交响应文件的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，在提交最后报价之前，可以根据磋商情况退出磋商。退出磋商的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，采购办将退还其磋商保证金。</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12.7 出现下列情形之一的响应文件按照无效处理：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未按竞争性磋商邀请规定的数额和办法交纳磋商保证金的；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（2）不具备磋商文件中规定资格条件的；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（3）未实质性响应磋商文件要求的；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没有逐一说明提供产品</w:t>
      </w:r>
      <w:r>
        <w:rPr>
          <w:rFonts w:hint="eastAsia" w:ascii="仿宋_GB2312" w:hAnsi="仿宋_GB2312" w:eastAsia="仿宋_GB2312" w:cs="仿宋_GB2312"/>
          <w:b/>
          <w:sz w:val="28"/>
          <w:szCs w:val="28"/>
          <w:lang w:val="zh-CN"/>
        </w:rPr>
        <w:t>名称、品牌、规格型号、产地、技术参数</w:t>
      </w:r>
      <w:r>
        <w:rPr>
          <w:rFonts w:hint="eastAsia" w:ascii="仿宋_GB2312" w:hAnsi="仿宋_GB2312" w:eastAsia="仿宋_GB2312" w:cs="仿宋_GB2312"/>
          <w:sz w:val="28"/>
          <w:szCs w:val="28"/>
          <w:lang w:val="zh-CN"/>
        </w:rPr>
        <w:t>和服务响应，而是直接拷贝采购文件技术要求的；</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报价低于完成本服务项目发生的所有含税费用、支付给员工的工资（不得低于响应商所在地最低工资标准）和国家强制缴纳的各种社会保障资金</w:t>
      </w:r>
      <w:r>
        <w:rPr>
          <w:rFonts w:hint="eastAsia" w:ascii="仿宋_GB2312" w:hAnsi="仿宋_GB2312" w:eastAsia="仿宋_GB2312" w:cs="仿宋_GB2312"/>
          <w:bCs/>
          <w:sz w:val="28"/>
          <w:szCs w:val="28"/>
        </w:rPr>
        <w:t>、公积金，以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zh-CN"/>
        </w:rPr>
        <w:t>不符合法律、法规和磋商文件规定的其他实质性要求的。</w:t>
      </w:r>
    </w:p>
    <w:p>
      <w:pPr>
        <w:autoSpaceDE w:val="0"/>
        <w:autoSpaceDN w:val="0"/>
        <w:snapToGrid w:val="0"/>
        <w:ind w:firstLine="420"/>
        <w:jc w:val="both"/>
        <w:rPr>
          <w:rFonts w:hint="eastAsia" w:ascii="仿宋_GB2312" w:hAnsi="仿宋_GB2312" w:eastAsia="仿宋_GB2312" w:cs="仿宋_GB2312"/>
          <w:b/>
          <w:bCs/>
          <w:sz w:val="28"/>
          <w:szCs w:val="28"/>
        </w:rPr>
      </w:pPr>
      <w:bookmarkStart w:id="75" w:name="_Toc487210478"/>
      <w:bookmarkStart w:id="76" w:name="_Toc4915"/>
      <w:r>
        <w:rPr>
          <w:rFonts w:hint="eastAsia" w:ascii="仿宋_GB2312" w:hAnsi="仿宋_GB2312" w:eastAsia="仿宋_GB2312" w:cs="仿宋_GB2312"/>
          <w:sz w:val="28"/>
          <w:szCs w:val="28"/>
          <w:lang w:val="zh-CN"/>
        </w:rPr>
        <w:t xml:space="preserve">12.8 </w:t>
      </w:r>
      <w:r>
        <w:rPr>
          <w:rFonts w:hint="eastAsia" w:ascii="仿宋_GB2312" w:hAnsi="仿宋_GB2312" w:eastAsia="仿宋_GB2312" w:cs="仿宋_GB2312"/>
          <w:b/>
          <w:bCs/>
          <w:sz w:val="28"/>
          <w:szCs w:val="28"/>
        </w:rPr>
        <w:t>出现下列情形之一的，磋商终止：</w:t>
      </w:r>
      <w:bookmarkEnd w:id="75"/>
      <w:bookmarkEnd w:id="76"/>
    </w:p>
    <w:p>
      <w:pPr>
        <w:autoSpaceDE w:val="0"/>
        <w:autoSpaceDN w:val="0"/>
        <w:snapToGrid w:val="0"/>
        <w:ind w:firstLine="420"/>
        <w:jc w:val="both"/>
        <w:rPr>
          <w:rFonts w:hint="eastAsia" w:ascii="仿宋_GB2312" w:hAnsi="仿宋_GB2312" w:eastAsia="仿宋_GB2312" w:cs="仿宋_GB2312"/>
          <w:bCs/>
          <w:sz w:val="28"/>
          <w:szCs w:val="28"/>
          <w:lang w:val="zh-CN"/>
        </w:rPr>
      </w:pPr>
      <w:bookmarkStart w:id="77" w:name="_Toc487210479"/>
      <w:bookmarkStart w:id="78" w:name="_Toc16304"/>
      <w:r>
        <w:rPr>
          <w:rFonts w:hint="eastAsia" w:ascii="仿宋_GB2312" w:hAnsi="仿宋_GB2312" w:eastAsia="仿宋_GB2312" w:cs="仿宋_GB2312"/>
          <w:bCs/>
          <w:sz w:val="28"/>
          <w:szCs w:val="28"/>
          <w:lang w:val="zh-CN"/>
        </w:rPr>
        <w:t>（1）因情况变化，不再符合规定的竞争性磋商采购方式适用情形的；</w:t>
      </w:r>
      <w:bookmarkEnd w:id="77"/>
      <w:bookmarkEnd w:id="78"/>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9" w:name="_Toc487210480"/>
      <w:bookmarkStart w:id="80" w:name="_Toc27133"/>
      <w:r>
        <w:rPr>
          <w:rFonts w:hint="eastAsia" w:ascii="仿宋_GB2312" w:hAnsi="仿宋_GB2312" w:eastAsia="仿宋_GB2312" w:cs="仿宋_GB2312"/>
          <w:bCs/>
          <w:sz w:val="28"/>
          <w:szCs w:val="28"/>
          <w:lang w:val="zh-CN"/>
        </w:rPr>
        <w:t>（2）</w:t>
      </w:r>
      <w:r>
        <w:rPr>
          <w:rFonts w:hint="eastAsia" w:ascii="仿宋_GB2312" w:hAnsi="仿宋_GB2312" w:eastAsia="仿宋_GB2312" w:cs="仿宋_GB2312"/>
          <w:b/>
          <w:bCs/>
          <w:sz w:val="28"/>
          <w:szCs w:val="28"/>
          <w:lang w:val="zh-CN"/>
        </w:rPr>
        <w:t>所有响应商的响应文件被磋商小组认定为无效的；</w:t>
      </w:r>
      <w:bookmarkEnd w:id="79"/>
      <w:bookmarkEnd w:id="80"/>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1" w:name="_Toc487210481"/>
      <w:bookmarkStart w:id="82" w:name="_Toc28280"/>
      <w:r>
        <w:rPr>
          <w:rFonts w:hint="eastAsia" w:ascii="仿宋_GB2312" w:hAnsi="仿宋_GB2312" w:eastAsia="仿宋_GB2312" w:cs="仿宋_GB2312"/>
          <w:bCs/>
          <w:sz w:val="28"/>
          <w:szCs w:val="28"/>
          <w:lang w:val="zh-CN"/>
        </w:rPr>
        <w:t>（3）</w:t>
      </w:r>
      <w:r>
        <w:rPr>
          <w:rFonts w:hint="eastAsia" w:ascii="仿宋_GB2312" w:hAnsi="仿宋_GB2312" w:eastAsia="仿宋_GB2312" w:cs="仿宋_GB2312"/>
          <w:sz w:val="28"/>
          <w:szCs w:val="28"/>
          <w:lang w:val="zh-CN"/>
        </w:rPr>
        <w:t>出现影响采购公正的违法、违规行为的；</w:t>
      </w:r>
      <w:bookmarkEnd w:id="81"/>
      <w:bookmarkEnd w:id="82"/>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3" w:name="_Toc487210482"/>
      <w:bookmarkStart w:id="84" w:name="_Toc24274"/>
      <w:r>
        <w:rPr>
          <w:rFonts w:hint="eastAsia" w:ascii="仿宋_GB2312" w:hAnsi="仿宋_GB2312" w:eastAsia="仿宋_GB2312" w:cs="仿宋_GB2312"/>
          <w:bCs/>
          <w:sz w:val="28"/>
          <w:szCs w:val="28"/>
          <w:lang w:val="zh-CN"/>
        </w:rPr>
        <w:t>（4）</w:t>
      </w:r>
      <w:r>
        <w:rPr>
          <w:rFonts w:hint="eastAsia" w:ascii="仿宋_GB2312" w:hAnsi="仿宋_GB2312" w:eastAsia="仿宋_GB2312" w:cs="仿宋_GB2312"/>
          <w:b/>
          <w:bCs/>
          <w:sz w:val="28"/>
          <w:szCs w:val="28"/>
          <w:lang w:val="zh-CN"/>
        </w:rPr>
        <w:t>响应商的最终报价超过采购预算的；</w:t>
      </w:r>
      <w:bookmarkEnd w:id="83"/>
      <w:bookmarkEnd w:id="84"/>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（5）因重大变故，采购任务取消的；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（6）采购人需求发生重大变化暂时不能确定或响应商提供的服务不能满足需求等。</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13、评定成交方法和标准</w:t>
      </w:r>
    </w:p>
    <w:p>
      <w:pPr>
        <w:autoSpaceDE w:val="0"/>
        <w:autoSpaceDN w:val="0"/>
        <w:snapToGrid w:val="0"/>
        <w:ind w:firstLine="42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 xml:space="preserve">13.1 </w:t>
      </w:r>
      <w:r>
        <w:rPr>
          <w:rFonts w:hint="eastAsia" w:ascii="仿宋_GB2312" w:hAnsi="仿宋_GB2312" w:eastAsia="仿宋_GB2312" w:cs="仿宋_GB2312"/>
          <w:color w:val="000000"/>
          <w:sz w:val="28"/>
          <w:szCs w:val="28"/>
          <w:lang w:val="zh-CN"/>
        </w:rPr>
        <w:t>采用综合评分法。即在最大限度地满足竞争性磋商文件实质性要求前提下，按照磋商文件中规定的各项因素进行综合评审后，以评审总得分最高的响应商作为成交候选响应商或者成交响应商的评审方法。</w:t>
      </w:r>
    </w:p>
    <w:p>
      <w:pPr>
        <w:autoSpaceDE w:val="0"/>
        <w:autoSpaceDN w:val="0"/>
        <w:snapToGrid w:val="0"/>
        <w:ind w:firstLine="420"/>
        <w:jc w:val="both"/>
        <w:rPr>
          <w:rFonts w:hint="eastAsia" w:ascii="仿宋_GB2312" w:hAnsi="仿宋_GB2312" w:eastAsia="仿宋_GB2312" w:cs="仿宋_GB2312"/>
          <w:sz w:val="28"/>
          <w:szCs w:val="28"/>
          <w:highlight w:val="yellow"/>
          <w:lang w:val="zh-CN"/>
        </w:rPr>
      </w:pPr>
      <w:r>
        <w:rPr>
          <w:rFonts w:hint="eastAsia" w:ascii="仿宋_GB2312" w:hAnsi="仿宋_GB2312" w:eastAsia="仿宋_GB2312" w:cs="仿宋_GB2312"/>
          <w:sz w:val="28"/>
          <w:szCs w:val="28"/>
          <w:lang w:val="zh-CN"/>
        </w:rPr>
        <w:t>13.2 综合评审的主要因素是：价格、服务参数响应情况</w:t>
      </w:r>
      <w:r>
        <w:rPr>
          <w:rFonts w:hint="eastAsia" w:ascii="仿宋_GB2312" w:hAnsi="仿宋_GB2312" w:eastAsia="仿宋_GB2312" w:cs="仿宋_GB2312"/>
          <w:sz w:val="28"/>
          <w:szCs w:val="28"/>
        </w:rPr>
        <w:t>、维保方案</w:t>
      </w:r>
      <w:r>
        <w:rPr>
          <w:rFonts w:hint="eastAsia" w:ascii="仿宋_GB2312" w:hAnsi="仿宋_GB2312" w:eastAsia="仿宋_GB2312" w:cs="仿宋_GB2312"/>
          <w:sz w:val="28"/>
          <w:szCs w:val="28"/>
          <w:lang w:val="zh-CN"/>
        </w:rPr>
        <w:t>、人员配置及服务承诺等、响应商履约能力及资信情况等。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color w:val="000000"/>
          <w:sz w:val="28"/>
          <w:szCs w:val="28"/>
          <w:lang w:val="zh-CN"/>
        </w:rPr>
        <w:t>13.3</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b/>
          <w:color w:val="000000"/>
          <w:sz w:val="28"/>
          <w:szCs w:val="28"/>
        </w:rPr>
        <w:t>评审标准详见文件第三章。</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14、确定成交响应商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14.1 </w:t>
      </w:r>
      <w:r>
        <w:rPr>
          <w:rFonts w:hint="eastAsia" w:ascii="仿宋_GB2312" w:hAnsi="仿宋_GB2312" w:eastAsia="仿宋_GB2312" w:cs="仿宋_GB2312"/>
          <w:color w:val="000000"/>
          <w:sz w:val="28"/>
          <w:szCs w:val="28"/>
          <w:lang w:val="zh-CN"/>
        </w:rPr>
        <w:t>在综合比较与评价后按照得分高低顺序对响应商进行排列。</w:t>
      </w:r>
      <w:r>
        <w:rPr>
          <w:rFonts w:hint="eastAsia" w:ascii="仿宋_GB2312" w:hAnsi="仿宋_GB2312" w:eastAsia="仿宋_GB2312" w:cs="仿宋_GB2312"/>
          <w:color w:val="000000"/>
          <w:sz w:val="28"/>
          <w:szCs w:val="28"/>
        </w:rPr>
        <w:t>得分相同的，按报价由低到高顺序排列。得分且报价相同的，按技术指标优劣顺序排列。</w:t>
      </w:r>
      <w:r>
        <w:rPr>
          <w:rFonts w:hint="eastAsia" w:ascii="仿宋_GB2312" w:hAnsi="仿宋_GB2312" w:eastAsia="仿宋_GB2312" w:cs="仿宋_GB2312"/>
          <w:color w:val="000000"/>
          <w:sz w:val="28"/>
          <w:szCs w:val="28"/>
          <w:lang w:val="zh-CN"/>
        </w:rPr>
        <w:t>磋商小组将综合排名第一的响应商确定为成交响应商。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14.2 成交响应商确定后，将</w:t>
      </w:r>
      <w:r>
        <w:rPr>
          <w:rFonts w:hint="eastAsia" w:ascii="仿宋_GB2312" w:hAnsi="仿宋_GB2312" w:eastAsia="仿宋_GB2312" w:cs="仿宋_GB2312"/>
          <w:sz w:val="28"/>
          <w:szCs w:val="28"/>
        </w:rPr>
        <w:t>在学院采购网上发布成交公示。</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14.3 成交通知书对采购人和成交响应商具有同等法律效力。</w:t>
      </w:r>
    </w:p>
    <w:p>
      <w:pPr>
        <w:tabs>
          <w:tab w:val="left" w:pos="1260"/>
        </w:tabs>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采购人对未成交的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不作未成交原因的解释。</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14.5 所有响应文件都将作为档案保存，不论成交与否，采购办均不退回。</w:t>
      </w:r>
    </w:p>
    <w:p>
      <w:pPr>
        <w:autoSpaceDE w:val="0"/>
        <w:autoSpaceDN w:val="0"/>
        <w:snapToGrid w:val="0"/>
        <w:ind w:firstLine="551" w:firstLineChars="196"/>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zh-CN"/>
        </w:rPr>
        <w:t>15</w:t>
      </w:r>
      <w:r>
        <w:rPr>
          <w:rFonts w:hint="eastAsia" w:ascii="仿宋_GB2312" w:hAnsi="仿宋_GB2312" w:eastAsia="仿宋_GB2312" w:cs="仿宋_GB2312"/>
          <w:b/>
          <w:bCs/>
          <w:sz w:val="28"/>
          <w:szCs w:val="28"/>
          <w:lang w:val="zh-CN"/>
        </w:rPr>
        <w:t>、</w:t>
      </w:r>
      <w:r>
        <w:rPr>
          <w:rFonts w:hint="eastAsia" w:ascii="仿宋_GB2312" w:hAnsi="仿宋_GB2312" w:eastAsia="仿宋_GB2312" w:cs="仿宋_GB2312"/>
          <w:b/>
          <w:sz w:val="28"/>
          <w:szCs w:val="28"/>
        </w:rPr>
        <w:t>编写评审报告</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磋商小组根据磋商过程和结果填写评审报告。</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sz w:val="28"/>
          <w:szCs w:val="28"/>
          <w:lang w:val="zh-CN"/>
        </w:rPr>
        <w:t>16、</w:t>
      </w:r>
      <w:r>
        <w:rPr>
          <w:rFonts w:hint="eastAsia" w:ascii="仿宋_GB2312" w:hAnsi="仿宋_GB2312" w:eastAsia="仿宋_GB2312" w:cs="仿宋_GB2312"/>
          <w:b/>
          <w:bCs/>
          <w:sz w:val="28"/>
          <w:szCs w:val="28"/>
          <w:lang w:val="zh-CN"/>
        </w:rPr>
        <w:t>签订合同</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1 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w:t>
      </w:r>
      <w:r>
        <w:rPr>
          <w:rFonts w:hint="eastAsia" w:ascii="仿宋_GB2312" w:hAnsi="仿宋_GB2312" w:eastAsia="仿宋_GB2312" w:cs="仿宋_GB2312"/>
          <w:sz w:val="28"/>
          <w:szCs w:val="28"/>
          <w:lang w:val="zh-CN"/>
        </w:rPr>
        <w:t>自成交通知书发出之日起三十日内，</w:t>
      </w:r>
      <w:r>
        <w:rPr>
          <w:rFonts w:hint="eastAsia" w:ascii="仿宋_GB2312" w:hAnsi="仿宋_GB2312" w:eastAsia="仿宋_GB2312" w:cs="仿宋_GB2312"/>
          <w:sz w:val="28"/>
          <w:szCs w:val="28"/>
        </w:rPr>
        <w:t>与采购人签订政府采购合同，所签订的合同不得对磋商文件和响应文件作实质性修改。</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 xml:space="preserve">.2 </w:t>
      </w:r>
      <w:r>
        <w:rPr>
          <w:rFonts w:hint="eastAsia" w:ascii="仿宋_GB2312" w:hAnsi="仿宋_GB2312" w:eastAsia="仿宋_GB2312" w:cs="仿宋_GB2312"/>
          <w:sz w:val="28"/>
          <w:szCs w:val="28"/>
        </w:rPr>
        <w:t>采购人不得向成交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提出任何不合理的要求作为签订合同的条件，不得与成交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私下订立背离合同实质性内容的协议。</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16.3</w:t>
      </w:r>
      <w:r>
        <w:rPr>
          <w:rFonts w:hint="eastAsia" w:ascii="仿宋_GB2312" w:hAnsi="仿宋_GB2312" w:eastAsia="仿宋_GB2312" w:cs="仿宋_GB2312"/>
          <w:sz w:val="28"/>
          <w:szCs w:val="28"/>
        </w:rPr>
        <w:t xml:space="preserve"> 除不可抗力等因素外，</w:t>
      </w:r>
      <w:r>
        <w:rPr>
          <w:rFonts w:hint="eastAsia" w:ascii="仿宋_GB2312" w:hAnsi="仿宋_GB2312" w:eastAsia="仿宋_GB2312" w:cs="仿宋_GB2312"/>
          <w:sz w:val="28"/>
          <w:szCs w:val="28"/>
          <w:lang w:val="zh-CN"/>
        </w:rPr>
        <w:t>成交通知书发出后，采购人改变成交结果，或者成交响应商拒绝签订政府采购合同的，应当承担相应的法律责任。</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16.4 </w:t>
      </w:r>
      <w:r>
        <w:rPr>
          <w:rFonts w:hint="eastAsia" w:ascii="仿宋_GB2312" w:hAnsi="仿宋_GB2312" w:eastAsia="仿宋_GB2312" w:cs="仿宋_GB2312"/>
          <w:b/>
          <w:sz w:val="28"/>
          <w:szCs w:val="28"/>
        </w:rPr>
        <w:t>成交</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16.5 成交响应商拒绝签订政府采购合同的，</w:t>
      </w:r>
      <w:r>
        <w:rPr>
          <w:rFonts w:hint="eastAsia" w:ascii="仿宋_GB2312" w:hAnsi="仿宋_GB2312" w:eastAsia="仿宋_GB2312" w:cs="仿宋_GB2312"/>
          <w:sz w:val="28"/>
          <w:szCs w:val="28"/>
        </w:rPr>
        <w:t>或因不可抗力或者自身原因不能履行政府采购合同的，</w:t>
      </w:r>
      <w:r>
        <w:rPr>
          <w:rFonts w:hint="eastAsia" w:ascii="仿宋_GB2312" w:hAnsi="仿宋_GB2312" w:eastAsia="仿宋_GB2312" w:cs="仿宋_GB2312"/>
          <w:sz w:val="28"/>
          <w:szCs w:val="28"/>
          <w:lang w:val="zh-CN"/>
        </w:rPr>
        <w:t>采购人可以视情与排位在成交响应商之后第一位的成交候选响应商签订政府采购合同，也可以重新开展采购活动。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16.6 政府采购合同履行中，采购人需追加与合同标的相同的服务的，在不改变合同其他条款的前提下，可以与响应商协商签订补充合同，但所有补充合同的采购金额不得超过原合同采购金额的百分之十。</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5" w:name="_Toc487210483"/>
      <w:bookmarkStart w:id="86" w:name="_Toc15504"/>
      <w:r>
        <w:rPr>
          <w:rFonts w:hint="eastAsia" w:ascii="仿宋_GB2312" w:hAnsi="仿宋_GB2312" w:eastAsia="仿宋_GB2312" w:cs="仿宋_GB2312"/>
          <w:b/>
          <w:bCs/>
          <w:sz w:val="28"/>
          <w:szCs w:val="28"/>
          <w:lang w:val="zh-CN"/>
        </w:rPr>
        <w:t>六、询问、质疑、投诉和诚实信用</w:t>
      </w:r>
      <w:bookmarkEnd w:id="85"/>
      <w:bookmarkEnd w:id="86"/>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17、询问</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17.1 响应商对采购活动事项有疑问的，可以向</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提出询问，</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将在两个工作日内作出答复，但答复的内容不涉及商业秘密</w:t>
      </w:r>
      <w:r>
        <w:rPr>
          <w:rFonts w:hint="eastAsia" w:ascii="仿宋_GB2312" w:hAnsi="仿宋_GB2312" w:eastAsia="仿宋_GB2312" w:cs="仿宋_GB2312"/>
          <w:b/>
          <w:sz w:val="28"/>
          <w:szCs w:val="28"/>
          <w:lang w:val="zh-CN"/>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18、质疑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18.1 响应商认为采购文件、采购过程和成交结果使自己的合法权益受到损害的，可以在知道或者应当知道其权益受到损害之日起七个工作日内，将质疑文件原件送达</w:t>
      </w:r>
      <w:r>
        <w:rPr>
          <w:rFonts w:hint="eastAsia" w:ascii="仿宋_GB2312" w:hAnsi="仿宋_GB2312" w:eastAsia="仿宋_GB2312" w:cs="仿宋_GB2312"/>
          <w:b/>
          <w:sz w:val="28"/>
          <w:szCs w:val="28"/>
        </w:rPr>
        <w:t>采购办</w:t>
      </w:r>
      <w:r>
        <w:rPr>
          <w:rFonts w:hint="eastAsia" w:ascii="仿宋_GB2312" w:hAnsi="仿宋_GB2312" w:eastAsia="仿宋_GB2312" w:cs="仿宋_GB2312"/>
          <w:b/>
          <w:sz w:val="28"/>
          <w:szCs w:val="28"/>
          <w:lang w:val="zh-CN"/>
        </w:rPr>
        <w:t>。</w:t>
      </w:r>
    </w:p>
    <w:p>
      <w:pPr>
        <w:autoSpaceDE w:val="0"/>
        <w:autoSpaceDN w:val="0"/>
        <w:snapToGrid w:val="0"/>
        <w:ind w:firstLine="560" w:firstLineChars="200"/>
        <w:jc w:val="both"/>
        <w:rPr>
          <w:rFonts w:hint="eastAsia" w:ascii="仿宋_GB2312" w:hAnsi="仿宋_GB2312" w:eastAsia="仿宋_GB2312" w:cs="仿宋_GB2312"/>
          <w:snapToGrid w:val="0"/>
          <w:sz w:val="28"/>
          <w:szCs w:val="28"/>
        </w:rPr>
      </w:pPr>
      <w:r>
        <w:rPr>
          <w:rFonts w:hint="eastAsia" w:ascii="仿宋_GB2312" w:hAnsi="仿宋_GB2312" w:eastAsia="仿宋_GB2312" w:cs="仿宋_GB2312"/>
          <w:sz w:val="28"/>
          <w:szCs w:val="28"/>
          <w:lang w:val="zh-CN"/>
        </w:rPr>
        <w:t>18.2 质疑文件应包括以下主要内容，并</w:t>
      </w:r>
      <w:r>
        <w:rPr>
          <w:rFonts w:hint="eastAsia" w:ascii="仿宋_GB2312" w:hAnsi="仿宋_GB2312" w:eastAsia="仿宋_GB2312" w:cs="仿宋_GB2312"/>
          <w:sz w:val="28"/>
          <w:szCs w:val="28"/>
        </w:rPr>
        <w:t>按照“谁主张、谁举证”的原则，附上相关证明材料。否则，采购办不予受理：</w:t>
      </w:r>
      <w:r>
        <w:rPr>
          <w:rFonts w:hint="eastAsia" w:ascii="仿宋_GB2312" w:hAnsi="仿宋_GB2312" w:eastAsia="仿宋_GB2312" w:cs="仿宋_GB2312"/>
          <w:snapToGrid w:val="0"/>
          <w:sz w:val="28"/>
          <w:szCs w:val="28"/>
        </w:rPr>
        <w:t xml:space="preserve"> </w:t>
      </w:r>
    </w:p>
    <w:p>
      <w:pPr>
        <w:autoSpaceDE w:val="0"/>
        <w:autoSpaceDN w:val="0"/>
        <w:snapToGrid w:val="0"/>
        <w:ind w:left="560" w:left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（1）质疑项目名称、项目编号、包号、采购公告发布时间、磋商时间；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（2）提起质疑的日期、具体的质疑事项及事实根据（具体条款）；</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（3）认为自己合法权益受到损害或可能受到损害的相关证据材料。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（4）质疑响应商名称、地址、邮编、联系人、联系电话</w:t>
      </w:r>
      <w:r>
        <w:rPr>
          <w:rFonts w:hint="eastAsia" w:ascii="仿宋_GB2312" w:hAnsi="仿宋_GB2312" w:eastAsia="仿宋_GB2312" w:cs="仿宋_GB2312"/>
          <w:sz w:val="28"/>
          <w:szCs w:val="28"/>
        </w:rPr>
        <w:t>（包括座机、手机、传真号码等）</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（5）质疑函应当署名，质疑人为自然人的，应当由本人签字并附有效身份证明；质疑人为法人或其他组织的，应当由法定代表人签字并加盖单位公章。</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18.3 质疑</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是指直接参加本项目采购活动的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；对采购文件提出质疑的，应自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18.4 </w:t>
      </w:r>
      <w:r>
        <w:rPr>
          <w:rFonts w:hint="eastAsia" w:ascii="仿宋_GB2312" w:hAnsi="仿宋_GB2312" w:eastAsia="仿宋_GB2312" w:cs="仿宋_GB2312"/>
          <w:sz w:val="28"/>
          <w:szCs w:val="28"/>
          <w:lang w:val="zh-CN"/>
        </w:rPr>
        <w:t>采购办</w:t>
      </w:r>
      <w:r>
        <w:rPr>
          <w:rFonts w:hint="eastAsia" w:ascii="仿宋_GB2312" w:hAnsi="仿宋_GB2312" w:eastAsia="仿宋_GB2312" w:cs="仿宋_GB2312"/>
          <w:sz w:val="28"/>
          <w:szCs w:val="28"/>
        </w:rPr>
        <w:t>在收到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的书面质疑后将及时组织调查核实，在</w:t>
      </w:r>
      <w:r>
        <w:rPr>
          <w:rFonts w:hint="eastAsia" w:ascii="仿宋_GB2312" w:hAnsi="仿宋_GB2312" w:eastAsia="仿宋_GB2312" w:cs="仿宋_GB2312"/>
          <w:b/>
          <w:bCs/>
          <w:sz w:val="28"/>
          <w:szCs w:val="28"/>
          <w:lang w:val="zh-CN"/>
        </w:rPr>
        <w:t>七个工作日内</w:t>
      </w:r>
      <w:r>
        <w:rPr>
          <w:rFonts w:hint="eastAsia" w:ascii="仿宋_GB2312" w:hAnsi="仿宋_GB2312" w:eastAsia="仿宋_GB2312" w:cs="仿宋_GB2312"/>
          <w:sz w:val="28"/>
          <w:szCs w:val="28"/>
          <w:lang w:val="zh-CN"/>
        </w:rPr>
        <w:t>作出答复，并以书面通知质疑响应商和其他有关响应商，答复的内容不涉及商业秘密。采购办</w:t>
      </w:r>
      <w:r>
        <w:rPr>
          <w:rFonts w:hint="eastAsia" w:ascii="仿宋_GB2312" w:hAnsi="仿宋_GB2312" w:eastAsia="仿宋_GB2312" w:cs="仿宋_GB2312"/>
          <w:sz w:val="28"/>
          <w:szCs w:val="28"/>
        </w:rPr>
        <w:t>遵循“谁过错谁负担”的原则，有过错的一方承担调查论证费用。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 xml:space="preserve">18.5 </w:t>
      </w:r>
      <w:r>
        <w:rPr>
          <w:rFonts w:hint="eastAsia" w:ascii="仿宋_GB2312" w:hAnsi="仿宋_GB2312" w:eastAsia="仿宋_GB2312" w:cs="仿宋_GB2312"/>
          <w:sz w:val="28"/>
          <w:szCs w:val="28"/>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19、投诉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19.1 质疑响应商对采购办的答复不满意，或采购办未在规定的时间内作出答复的，可以在答复期满后</w:t>
      </w:r>
      <w:r>
        <w:rPr>
          <w:rFonts w:hint="eastAsia" w:ascii="仿宋_GB2312" w:hAnsi="仿宋_GB2312" w:eastAsia="仿宋_GB2312" w:cs="仿宋_GB2312"/>
          <w:b/>
          <w:bCs/>
          <w:sz w:val="28"/>
          <w:szCs w:val="28"/>
          <w:lang w:val="zh-CN"/>
        </w:rPr>
        <w:t>十五个工作日内</w:t>
      </w:r>
      <w:r>
        <w:rPr>
          <w:rFonts w:hint="eastAsia" w:ascii="仿宋_GB2312" w:hAnsi="仿宋_GB2312" w:eastAsia="仿宋_GB2312" w:cs="仿宋_GB2312"/>
          <w:sz w:val="28"/>
          <w:szCs w:val="28"/>
          <w:lang w:val="zh-CN"/>
        </w:rPr>
        <w:t>向采购项目同级财政部门投诉。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20、诚实信用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20.1 响应商之间不得相互串通报价，不得妨碍其他响应商的公平竞争，不得损害采购人和其他响应商的合法权益。</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20.2 响应商不得以向采购办工作人员、磋商小组成员行贿或者采取其他不正当手段谋取成交。经查实响应商有此行为的，</w:t>
      </w:r>
      <w:r>
        <w:rPr>
          <w:rFonts w:hint="eastAsia" w:ascii="仿宋_GB2312" w:hAnsi="仿宋_GB2312" w:eastAsia="仿宋_GB2312" w:cs="仿宋_GB2312"/>
          <w:sz w:val="28"/>
          <w:szCs w:val="28"/>
        </w:rPr>
        <w:t>政府采购管理部门将</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列入不良行为记录名单，按照《政府采购法》有关规定处理。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20.3 响应商不得虚假质疑和恶意质疑，并对质疑内容的真实性承担责任。</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通过捏造事实、伪造证明材料等方式提出异议或投诉，阻碍政府采购活动正常进行的，属于严重不良行为，采购办将提请财政部门将其列入不良行为记录名单，并依法予以处罚。</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20.4 响应商不得虚假承诺，否则，按照提供虚假材料谋取成交处理。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20.5 响应商应自觉遵守磋商、评审纪律，扰乱磋商、评审现场秩序的，属于失信行为，根据《江苏省政府采购响应商监督管理暂行办法》，失信行为将被记入响应商诚信档案。</w:t>
      </w:r>
    </w:p>
    <w:bookmarkEnd w:id="66"/>
    <w:bookmarkEnd w:id="67"/>
    <w:bookmarkEnd w:id="68"/>
    <w:p>
      <w:pPr>
        <w:widowControl/>
        <w:adjustRightInd/>
        <w:spacing w:line="240" w:lineRule="auto"/>
        <w:jc w:val="both"/>
        <w:textAlignment w:val="auto"/>
        <w:rPr>
          <w:rFonts w:hint="eastAsia" w:ascii="仿宋_GB2312" w:hAnsi="仿宋_GB2312" w:eastAsia="仿宋_GB2312" w:cs="仿宋_GB2312"/>
          <w:b/>
          <w:bCs/>
          <w:kern w:val="44"/>
          <w:sz w:val="28"/>
          <w:szCs w:val="28"/>
        </w:rPr>
      </w:pPr>
      <w:bookmarkStart w:id="87" w:name="_Toc403987212"/>
      <w:r>
        <w:rPr>
          <w:rFonts w:hint="eastAsia" w:ascii="仿宋_GB2312" w:hAnsi="仿宋_GB2312" w:eastAsia="仿宋_GB2312" w:cs="仿宋_GB2312"/>
          <w:sz w:val="28"/>
          <w:szCs w:val="28"/>
        </w:rPr>
        <w:br w:type="page"/>
      </w:r>
    </w:p>
    <w:p>
      <w:pPr>
        <w:pStyle w:val="2"/>
        <w:jc w:val="center"/>
        <w:rPr>
          <w:rFonts w:hint="eastAsia" w:ascii="仿宋_GB2312" w:hAnsi="仿宋_GB2312" w:eastAsia="仿宋_GB2312" w:cs="仿宋_GB2312"/>
          <w:sz w:val="28"/>
          <w:szCs w:val="28"/>
        </w:rPr>
      </w:pPr>
      <w:bookmarkStart w:id="88" w:name="_Toc3054"/>
      <w:r>
        <w:rPr>
          <w:rFonts w:hint="eastAsia" w:ascii="仿宋_GB2312" w:hAnsi="仿宋_GB2312" w:eastAsia="仿宋_GB2312" w:cs="仿宋_GB2312"/>
          <w:sz w:val="28"/>
          <w:szCs w:val="28"/>
        </w:rPr>
        <w:t>第三章  成交标准</w:t>
      </w:r>
      <w:bookmarkEnd w:id="88"/>
    </w:p>
    <w:p>
      <w:pPr>
        <w:keepNext/>
        <w:keepLines/>
        <w:tabs>
          <w:tab w:val="left" w:pos="2324"/>
        </w:tabs>
        <w:spacing w:before="156" w:beforeLines="50" w:after="156" w:afterLines="50" w:line="300" w:lineRule="auto"/>
        <w:ind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本项目采用综合评分法确定</w:t>
      </w:r>
      <w:r>
        <w:rPr>
          <w:rFonts w:hint="eastAsia" w:ascii="仿宋_GB2312" w:hAnsi="仿宋_GB2312" w:eastAsia="仿宋_GB2312" w:cs="仿宋_GB2312"/>
          <w:sz w:val="28"/>
          <w:szCs w:val="28"/>
          <w:lang w:val="en-US" w:eastAsia="zh-CN"/>
        </w:rPr>
        <w:t>成交</w:t>
      </w:r>
      <w:r>
        <w:rPr>
          <w:rFonts w:hint="eastAsia" w:ascii="仿宋_GB2312" w:hAnsi="仿宋_GB2312" w:eastAsia="仿宋_GB2312" w:cs="仿宋_GB2312"/>
          <w:sz w:val="28"/>
          <w:szCs w:val="28"/>
        </w:rPr>
        <w:t>候选人。</w:t>
      </w:r>
      <w:r>
        <w:rPr>
          <w:rFonts w:hint="eastAsia" w:ascii="仿宋_GB2312" w:hAnsi="仿宋_GB2312" w:eastAsia="仿宋_GB2312" w:cs="仿宋_GB2312"/>
          <w:sz w:val="28"/>
          <w:szCs w:val="28"/>
          <w:lang w:val="en-US" w:eastAsia="zh-CN"/>
        </w:rPr>
        <w:t>评审</w:t>
      </w:r>
      <w:r>
        <w:rPr>
          <w:rFonts w:hint="eastAsia" w:ascii="仿宋_GB2312" w:hAnsi="仿宋_GB2312" w:eastAsia="仿宋_GB2312" w:cs="仿宋_GB2312"/>
          <w:sz w:val="28"/>
          <w:szCs w:val="28"/>
        </w:rPr>
        <w:t>委员会将按下列评分办法和标准进行评分，总分值为100分。具体分包成交标准如下：</w:t>
      </w:r>
    </w:p>
    <w:tbl>
      <w:tblPr>
        <w:tblStyle w:val="17"/>
        <w:tblW w:w="92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850"/>
        <w:gridCol w:w="825"/>
        <w:gridCol w:w="7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序号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评分项目</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szCs w:val="21"/>
              </w:rPr>
            </w:pPr>
            <w:r>
              <w:rPr>
                <w:rFonts w:hint="eastAsia" w:ascii="宋体" w:hAnsi="宋体" w:cs="宋体"/>
                <w:b/>
                <w:szCs w:val="21"/>
              </w:rPr>
              <w:t>分值</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评分要点及说明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一</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hint="eastAsia" w:ascii="宋体" w:hAnsi="宋体" w:cs="宋体"/>
                <w:szCs w:val="21"/>
              </w:rPr>
            </w:pPr>
            <w:r>
              <w:rPr>
                <w:rFonts w:hint="eastAsia" w:ascii="宋体" w:hAnsi="宋体" w:cs="宋体"/>
                <w:szCs w:val="21"/>
              </w:rPr>
              <w:t>投标价格</w:t>
            </w:r>
          </w:p>
          <w:p>
            <w:pPr>
              <w:adjustRightInd w:val="0"/>
              <w:snapToGrid w:val="0"/>
              <w:spacing w:line="360" w:lineRule="auto"/>
              <w:rPr>
                <w:rFonts w:hint="eastAsia" w:ascii="宋体" w:hAnsi="宋体" w:cs="宋体"/>
                <w:szCs w:val="21"/>
                <w:lang w:val="en-US" w:eastAsia="zh-CN"/>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hint="eastAsia" w:ascii="宋体" w:hAnsi="宋体" w:cs="宋体"/>
                <w:szCs w:val="21"/>
                <w:lang w:val="en-US" w:eastAsia="zh-CN"/>
              </w:rPr>
            </w:pPr>
            <w:r>
              <w:rPr>
                <w:rFonts w:hint="eastAsia" w:ascii="宋体" w:hAnsi="宋体" w:cs="宋体"/>
                <w:szCs w:val="21"/>
                <w:lang w:val="en-US" w:eastAsia="zh-CN"/>
              </w:rPr>
              <w:t>30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确定</w:t>
            </w:r>
            <w:r>
              <w:rPr>
                <w:rFonts w:hint="eastAsia" w:hAnsi="宋体" w:cs="宋体"/>
                <w:szCs w:val="21"/>
                <w:lang w:eastAsia="zh-CN"/>
              </w:rPr>
              <w:t>磋商</w:t>
            </w:r>
            <w:r>
              <w:rPr>
                <w:rFonts w:hint="eastAsia" w:ascii="宋体" w:hAnsi="宋体" w:cs="宋体"/>
                <w:szCs w:val="21"/>
              </w:rPr>
              <w:t>基准价：满足</w:t>
            </w:r>
            <w:r>
              <w:rPr>
                <w:rFonts w:hint="eastAsia" w:ascii="宋体" w:hAnsi="宋体" w:cs="宋体"/>
                <w:szCs w:val="21"/>
                <w:lang w:eastAsia="zh-CN"/>
              </w:rPr>
              <w:t>磋商文件</w:t>
            </w:r>
            <w:r>
              <w:rPr>
                <w:rFonts w:hint="eastAsia" w:ascii="宋体" w:hAnsi="宋体" w:cs="宋体"/>
                <w:szCs w:val="21"/>
              </w:rPr>
              <w:t>要求且价格最低的报价为</w:t>
            </w:r>
            <w:r>
              <w:rPr>
                <w:rFonts w:hint="eastAsia" w:ascii="宋体" w:hAnsi="宋体" w:cs="宋体"/>
                <w:szCs w:val="21"/>
                <w:lang w:eastAsia="zh-CN"/>
              </w:rPr>
              <w:t>磋商</w:t>
            </w:r>
            <w:r>
              <w:rPr>
                <w:rFonts w:hint="eastAsia" w:ascii="宋体" w:hAnsi="宋体" w:cs="宋体"/>
                <w:szCs w:val="21"/>
              </w:rPr>
              <w:t>基准价，其价格分为满分。其他</w:t>
            </w:r>
            <w:r>
              <w:rPr>
                <w:rFonts w:hint="eastAsia" w:ascii="宋体" w:hAnsi="宋体" w:cs="宋体"/>
                <w:szCs w:val="21"/>
                <w:lang w:eastAsia="zh-CN"/>
              </w:rPr>
              <w:t>响应商</w:t>
            </w:r>
            <w:r>
              <w:rPr>
                <w:rFonts w:hint="eastAsia" w:ascii="宋体" w:hAnsi="宋体" w:cs="宋体"/>
                <w:szCs w:val="21"/>
              </w:rPr>
              <w:t>的价格分则按照下列公式：</w:t>
            </w:r>
          </w:p>
          <w:p>
            <w:pPr>
              <w:adjustRightInd w:val="0"/>
              <w:snapToGrid w:val="0"/>
              <w:spacing w:line="360" w:lineRule="auto"/>
              <w:rPr>
                <w:rFonts w:ascii="宋体" w:hAnsi="宋体" w:cs="宋体"/>
                <w:szCs w:val="21"/>
              </w:rPr>
            </w:pPr>
            <w:r>
              <w:rPr>
                <w:rFonts w:hint="eastAsia" w:ascii="宋体" w:hAnsi="宋体" w:cs="宋体"/>
                <w:szCs w:val="21"/>
              </w:rPr>
              <w:t>价格分=（</w:t>
            </w:r>
            <w:r>
              <w:rPr>
                <w:rFonts w:hint="eastAsia" w:hAnsi="宋体" w:cs="宋体"/>
                <w:szCs w:val="21"/>
                <w:lang w:eastAsia="zh-CN"/>
              </w:rPr>
              <w:t>磋商</w:t>
            </w:r>
            <w:r>
              <w:rPr>
                <w:rFonts w:hint="eastAsia" w:ascii="宋体" w:hAnsi="宋体" w:cs="宋体"/>
                <w:szCs w:val="21"/>
              </w:rPr>
              <w:t>基准价/投标报价）×</w:t>
            </w:r>
            <w:r>
              <w:rPr>
                <w:rFonts w:hint="eastAsia" w:hAnsi="宋体" w:cs="宋体"/>
                <w:szCs w:val="21"/>
                <w:lang w:val="en-US" w:eastAsia="zh-CN"/>
              </w:rPr>
              <w:t>3</w:t>
            </w:r>
            <w:r>
              <w:rPr>
                <w:rFonts w:hint="eastAsia" w:ascii="宋体" w:hAnsi="宋体" w:cs="宋体"/>
                <w:szCs w:val="21"/>
              </w:rPr>
              <w:t>0（计算得分保留小数点后2位）。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二</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资信及商务（1</w:t>
            </w:r>
            <w:r>
              <w:rPr>
                <w:rFonts w:hint="eastAsia" w:hAnsi="宋体" w:cs="宋体"/>
                <w:szCs w:val="21"/>
                <w:lang w:val="en-US" w:eastAsia="zh-CN"/>
              </w:rPr>
              <w:t>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2</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left"/>
              <w:rPr>
                <w:rFonts w:ascii="宋体" w:hAnsi="宋体" w:cs="宋体"/>
                <w:b/>
                <w:szCs w:val="21"/>
              </w:rPr>
            </w:pPr>
            <w:r>
              <w:rPr>
                <w:rFonts w:hint="eastAsia" w:ascii="宋体" w:hAnsi="宋体" w:cs="宋体"/>
                <w:b/>
                <w:szCs w:val="21"/>
              </w:rPr>
              <w:t>售后服务评价（满分</w:t>
            </w:r>
            <w:r>
              <w:rPr>
                <w:rFonts w:ascii="宋体" w:hAnsi="宋体" w:cs="宋体"/>
                <w:b/>
                <w:szCs w:val="21"/>
              </w:rPr>
              <w:t>2</w:t>
            </w:r>
            <w:r>
              <w:rPr>
                <w:rFonts w:hint="eastAsia" w:ascii="宋体" w:hAnsi="宋体" w:cs="宋体"/>
                <w:b/>
                <w:szCs w:val="21"/>
              </w:rPr>
              <w:t>分）；</w:t>
            </w:r>
          </w:p>
          <w:p>
            <w:pPr>
              <w:adjustRightInd w:val="0"/>
              <w:snapToGrid w:val="0"/>
              <w:spacing w:line="360" w:lineRule="auto"/>
              <w:jc w:val="left"/>
              <w:rPr>
                <w:rFonts w:ascii="宋体" w:hAnsi="宋体" w:cs="宋体"/>
                <w:szCs w:val="21"/>
              </w:rPr>
            </w:pPr>
            <w:r>
              <w:rPr>
                <w:rFonts w:hint="eastAsia" w:hAnsi="宋体" w:cs="宋体"/>
                <w:szCs w:val="21"/>
                <w:lang w:eastAsia="zh-CN"/>
              </w:rPr>
              <w:t>响应文件</w:t>
            </w:r>
            <w:r>
              <w:rPr>
                <w:rFonts w:hint="eastAsia" w:ascii="宋体" w:hAnsi="宋体" w:cs="宋体"/>
                <w:szCs w:val="21"/>
              </w:rPr>
              <w:t>中需提供质保期承诺书，以及售后服务计划，</w:t>
            </w:r>
            <w:r>
              <w:rPr>
                <w:rFonts w:hint="eastAsia" w:ascii="宋体" w:hAnsi="宋体" w:cs="宋体"/>
              </w:rPr>
              <w:t>比较各</w:t>
            </w:r>
            <w:r>
              <w:rPr>
                <w:rFonts w:hint="eastAsia" w:hAnsi="宋体" w:cs="宋体"/>
                <w:lang w:eastAsia="zh-CN"/>
              </w:rPr>
              <w:t>响应商</w:t>
            </w:r>
            <w:r>
              <w:rPr>
                <w:rFonts w:hint="eastAsia" w:ascii="宋体" w:hAnsi="宋体" w:cs="宋体"/>
              </w:rPr>
              <w:t>所提供的</w:t>
            </w:r>
            <w:r>
              <w:rPr>
                <w:rFonts w:hint="eastAsia" w:ascii="宋体" w:hAnsi="宋体" w:cs="宋体"/>
                <w:szCs w:val="21"/>
              </w:rPr>
              <w:t>售后服务</w:t>
            </w:r>
            <w:r>
              <w:rPr>
                <w:rFonts w:hint="eastAsia" w:ascii="宋体" w:hAnsi="宋体" w:cs="宋体"/>
              </w:rPr>
              <w:t>措施方案的针对性及合理性，合理的给</w:t>
            </w:r>
            <w:r>
              <w:rPr>
                <w:rFonts w:ascii="宋体" w:hAnsi="宋体" w:cs="宋体"/>
              </w:rPr>
              <w:t>2</w:t>
            </w:r>
            <w:r>
              <w:rPr>
                <w:rFonts w:hint="eastAsia" w:ascii="宋体" w:hAnsi="宋体" w:cs="宋体"/>
              </w:rPr>
              <w:t>分，一般的得</w:t>
            </w:r>
            <w:r>
              <w:rPr>
                <w:rFonts w:ascii="宋体" w:hAnsi="宋体" w:cs="宋体"/>
              </w:rPr>
              <w:t>1</w:t>
            </w:r>
            <w:r>
              <w:rPr>
                <w:rFonts w:hint="eastAsia" w:ascii="宋体" w:hAnsi="宋体" w:cs="宋体"/>
              </w:rPr>
              <w:t>分，不合理的不给分。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1" w:hRule="atLeast"/>
          <w:jc w:val="center"/>
        </w:trPr>
        <w:tc>
          <w:tcPr>
            <w:tcW w:w="4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5</w:t>
            </w:r>
          </w:p>
        </w:tc>
        <w:tc>
          <w:tcPr>
            <w:tcW w:w="7128"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hAnsi="宋体" w:cs="宋体"/>
                <w:b/>
                <w:szCs w:val="21"/>
                <w:lang w:eastAsia="zh-CN"/>
              </w:rPr>
              <w:t>响应商</w:t>
            </w:r>
            <w:r>
              <w:rPr>
                <w:rFonts w:hint="eastAsia" w:ascii="宋体" w:hAnsi="宋体" w:cs="宋体"/>
                <w:b/>
                <w:szCs w:val="21"/>
              </w:rPr>
              <w:t>微课资源库项目业绩（满分5分）；</w:t>
            </w:r>
          </w:p>
          <w:p>
            <w:pPr>
              <w:adjustRightInd w:val="0"/>
              <w:snapToGrid w:val="0"/>
              <w:spacing w:line="360" w:lineRule="auto"/>
              <w:rPr>
                <w:rFonts w:ascii="宋体" w:hAnsi="宋体" w:cs="宋体"/>
                <w:szCs w:val="21"/>
              </w:rPr>
            </w:pPr>
            <w:r>
              <w:rPr>
                <w:rFonts w:hint="eastAsia" w:ascii="宋体" w:hAnsi="宋体" w:cs="宋体"/>
                <w:szCs w:val="21"/>
              </w:rPr>
              <w:t>（1）近</w:t>
            </w:r>
            <w:r>
              <w:rPr>
                <w:rFonts w:ascii="宋体" w:hAnsi="宋体" w:cs="宋体"/>
                <w:szCs w:val="21"/>
              </w:rPr>
              <w:t>1</w:t>
            </w:r>
            <w:r>
              <w:rPr>
                <w:rFonts w:hint="eastAsia" w:ascii="宋体" w:hAnsi="宋体" w:cs="宋体"/>
                <w:szCs w:val="21"/>
              </w:rPr>
              <w:t>年内本项目产品业绩，金额达60万以上的项目，每个得1分，最高得2分；需提供相关合同，供货清单及验收证明；</w:t>
            </w:r>
          </w:p>
          <w:p>
            <w:pPr>
              <w:adjustRightInd w:val="0"/>
              <w:snapToGrid w:val="0"/>
              <w:spacing w:line="360" w:lineRule="auto"/>
              <w:rPr>
                <w:rFonts w:ascii="宋体" w:hAnsi="宋体" w:cs="宋体"/>
                <w:szCs w:val="21"/>
              </w:rPr>
            </w:pPr>
            <w:r>
              <w:rPr>
                <w:rFonts w:hint="eastAsia" w:ascii="宋体" w:hAnsi="宋体" w:cs="宋体"/>
                <w:szCs w:val="21"/>
              </w:rPr>
              <w:t>（2）参与过省级微课类精品资源库建设项目，并验收通过，提供相关证明材料，得3分；没有相关项目经验，不得分。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3</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360" w:lineRule="auto"/>
              <w:rPr>
                <w:rFonts w:ascii="宋体" w:hAnsi="宋体" w:cs="宋体"/>
                <w:b/>
                <w:szCs w:val="21"/>
              </w:rPr>
            </w:pPr>
            <w:r>
              <w:rPr>
                <w:rFonts w:hint="eastAsia" w:ascii="宋体" w:hAnsi="宋体" w:cs="宋体"/>
                <w:b/>
                <w:szCs w:val="21"/>
              </w:rPr>
              <w:t>知识产权证书（满分3分）；</w:t>
            </w:r>
          </w:p>
          <w:p>
            <w:pPr>
              <w:spacing w:after="0" w:line="360" w:lineRule="auto"/>
              <w:rPr>
                <w:rFonts w:ascii="宋体" w:hAnsi="宋体" w:cs="宋体"/>
                <w:szCs w:val="21"/>
              </w:rPr>
            </w:pPr>
            <w:r>
              <w:rPr>
                <w:rFonts w:hint="eastAsia" w:hAnsi="宋体" w:cs="宋体"/>
                <w:szCs w:val="21"/>
                <w:lang w:eastAsia="zh-CN"/>
              </w:rPr>
              <w:t>响应商</w:t>
            </w:r>
            <w:r>
              <w:rPr>
                <w:rFonts w:hint="eastAsia" w:ascii="宋体" w:hAnsi="宋体" w:cs="宋体"/>
                <w:szCs w:val="21"/>
              </w:rPr>
              <w:t>所投产品具备与微课内容相关的知识产权证书，并</w:t>
            </w:r>
            <w:r>
              <w:rPr>
                <w:rFonts w:ascii="宋体" w:hAnsi="宋体" w:cs="宋体"/>
                <w:szCs w:val="21"/>
              </w:rPr>
              <w:t>提供证书扫描件</w:t>
            </w:r>
            <w:r>
              <w:rPr>
                <w:rFonts w:hint="eastAsia" w:ascii="宋体" w:hAnsi="宋体" w:cs="宋体"/>
                <w:szCs w:val="21"/>
              </w:rPr>
              <w:t>，</w:t>
            </w:r>
            <w:r>
              <w:rPr>
                <w:rFonts w:ascii="宋体" w:hAnsi="宋体" w:cs="宋体"/>
                <w:szCs w:val="21"/>
              </w:rPr>
              <w:t>1个证书扫描件</w:t>
            </w:r>
            <w:r>
              <w:rPr>
                <w:rFonts w:hint="eastAsia" w:ascii="宋体" w:hAnsi="宋体" w:cs="宋体"/>
                <w:szCs w:val="21"/>
              </w:rPr>
              <w:t>1</w:t>
            </w:r>
            <w:r>
              <w:rPr>
                <w:rFonts w:ascii="宋体" w:hAnsi="宋体" w:cs="宋体"/>
                <w:szCs w:val="21"/>
              </w:rPr>
              <w:t>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三</w:t>
            </w:r>
          </w:p>
        </w:tc>
        <w:tc>
          <w:tcPr>
            <w:tcW w:w="850"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技术方案</w:t>
            </w:r>
          </w:p>
          <w:p>
            <w:pPr>
              <w:adjustRightInd w:val="0"/>
              <w:snapToGrid w:val="0"/>
              <w:spacing w:line="360" w:lineRule="auto"/>
              <w:rPr>
                <w:rFonts w:ascii="宋体" w:hAnsi="宋体" w:cs="宋体"/>
                <w:szCs w:val="21"/>
              </w:rPr>
            </w:pPr>
            <w:r>
              <w:rPr>
                <w:rFonts w:hint="eastAsia" w:ascii="宋体" w:hAnsi="宋体" w:cs="宋体"/>
                <w:szCs w:val="21"/>
              </w:rPr>
              <w:t>（6</w:t>
            </w:r>
            <w:r>
              <w:rPr>
                <w:rFonts w:hint="eastAsia" w:hAnsi="宋体" w:cs="宋体"/>
                <w:szCs w:val="21"/>
                <w:lang w:val="en-US" w:eastAsia="zh-CN"/>
              </w:rPr>
              <w:t>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rPr>
                <w:rFonts w:ascii="宋体" w:hAnsi="宋体" w:cs="宋体"/>
                <w:b/>
                <w:szCs w:val="21"/>
                <w:lang w:val="zh-CN"/>
              </w:rPr>
            </w:pPr>
            <w:r>
              <w:rPr>
                <w:rFonts w:hint="eastAsia" w:ascii="宋体" w:hAnsi="宋体" w:cs="宋体"/>
                <w:b/>
                <w:szCs w:val="21"/>
                <w:lang w:val="zh-CN"/>
              </w:rPr>
              <w:t>教学动画参数响应情况 (满分10分)</w:t>
            </w:r>
          </w:p>
          <w:p>
            <w:pPr>
              <w:adjustRightInd w:val="0"/>
              <w:snapToGrid w:val="0"/>
              <w:spacing w:line="360" w:lineRule="auto"/>
              <w:jc w:val="left"/>
              <w:rPr>
                <w:rFonts w:ascii="宋体" w:hAnsi="宋体" w:cs="宋体"/>
                <w:szCs w:val="21"/>
                <w:lang w:val="zh-CN"/>
              </w:rPr>
            </w:pPr>
            <w:r>
              <w:rPr>
                <w:rFonts w:hint="eastAsia" w:ascii="宋体" w:hAnsi="宋体" w:cs="宋体"/>
                <w:szCs w:val="21"/>
                <w:lang w:val="zh-CN"/>
              </w:rPr>
              <w:t>各</w:t>
            </w:r>
            <w:r>
              <w:rPr>
                <w:rFonts w:hint="eastAsia" w:hAnsi="宋体" w:cs="宋体"/>
                <w:szCs w:val="21"/>
                <w:lang w:val="zh-CN"/>
              </w:rPr>
              <w:t>响应商</w:t>
            </w:r>
            <w:r>
              <w:rPr>
                <w:rFonts w:hint="eastAsia" w:ascii="宋体" w:hAnsi="宋体" w:cs="宋体"/>
                <w:szCs w:val="21"/>
                <w:lang w:val="zh-CN"/>
              </w:rPr>
              <w:t>对招标参数中要求的所有教学单元的教学动画课程提供课程清单，课程清单的数量与资源建设项目表中要求的资源数量保持一致，所有动画/视频/微课的资源内容需提供课程界面截图（每个资源至少2张），</w:t>
            </w:r>
            <w:r>
              <w:rPr>
                <w:rFonts w:hint="eastAsia" w:hAnsi="宋体" w:cs="宋体"/>
                <w:szCs w:val="21"/>
                <w:lang w:val="zh-CN"/>
              </w:rPr>
              <w:t>磋商</w:t>
            </w:r>
            <w:r>
              <w:rPr>
                <w:rFonts w:hint="eastAsia" w:ascii="宋体" w:hAnsi="宋体" w:cs="宋体"/>
                <w:szCs w:val="21"/>
                <w:lang w:val="zh-CN"/>
              </w:rPr>
              <w:t>人对教学动画课程清单的响应情况进行评价：</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1）</w:t>
            </w:r>
            <w:r>
              <w:rPr>
                <w:rFonts w:hint="eastAsia" w:ascii="宋体" w:hAnsi="宋体" w:cs="宋体"/>
                <w:szCs w:val="21"/>
              </w:rPr>
              <w:t>所有微课资源必须为原创高清作品，微课资源截图必须有制造商logo，从网络截取等渠道作品将导致严重扣分。</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2）</w:t>
            </w:r>
            <w:r>
              <w:rPr>
                <w:rFonts w:hint="eastAsia" w:ascii="宋体" w:hAnsi="宋体" w:cs="宋体"/>
                <w:szCs w:val="21"/>
                <w:lang w:val="zh-CN"/>
              </w:rPr>
              <w:t>课程清单合理，与需求匹配，动画课程清单与动画课程截图吻合。</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3）</w:t>
            </w:r>
            <w:r>
              <w:rPr>
                <w:rFonts w:hint="eastAsia" w:ascii="宋体" w:hAnsi="宋体" w:cs="宋体"/>
                <w:szCs w:val="21"/>
              </w:rPr>
              <w:t>界面截图要求完整，内容清晰饱满，逻辑性强，软件界面设计优秀。</w:t>
            </w:r>
          </w:p>
          <w:p>
            <w:pPr>
              <w:adjustRightInd w:val="0"/>
              <w:snapToGrid w:val="0"/>
              <w:spacing w:line="360" w:lineRule="auto"/>
              <w:jc w:val="left"/>
              <w:rPr>
                <w:rFonts w:ascii="宋体" w:hAnsi="宋体" w:cs="宋体"/>
                <w:szCs w:val="21"/>
              </w:rPr>
            </w:pPr>
            <w:r>
              <w:rPr>
                <w:rFonts w:hint="eastAsia" w:ascii="宋体" w:hAnsi="宋体" w:cs="宋体"/>
                <w:szCs w:val="21"/>
              </w:rPr>
              <w:t>其中：</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课程清单清晰完整，完全符合标书和学校教学要求，</w:t>
            </w:r>
            <w:r>
              <w:rPr>
                <w:rFonts w:hint="eastAsia" w:ascii="宋体" w:hAnsi="宋体" w:cs="宋体"/>
                <w:szCs w:val="21"/>
                <w:lang w:val="zh-CN"/>
              </w:rPr>
              <w:t>动画/视频/微课的内容与课程清单内容吻合，界面截图美观大方</w:t>
            </w:r>
            <w:r>
              <w:rPr>
                <w:rFonts w:hint="eastAsia" w:ascii="宋体" w:hAnsi="宋体" w:cs="宋体"/>
                <w:szCs w:val="21"/>
              </w:rPr>
              <w:t>。10分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‘课程清单内容有少量缺失，与标书和学校教学要求有少量差异’或‘</w:t>
            </w:r>
            <w:r>
              <w:rPr>
                <w:rFonts w:hint="eastAsia" w:ascii="宋体" w:hAnsi="宋体" w:cs="宋体"/>
                <w:szCs w:val="21"/>
                <w:lang w:val="zh-CN"/>
              </w:rPr>
              <w:t>动画/视频/微课的内容与课程清单内容存在少量差异，教学界面截图一般’。</w:t>
            </w:r>
            <w:r>
              <w:rPr>
                <w:rFonts w:hint="eastAsia" w:ascii="宋体" w:hAnsi="宋体" w:cs="宋体"/>
                <w:szCs w:val="21"/>
              </w:rPr>
              <w:t>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‘课程清单内容有较大缺失，与标书和学校教学要求有存在较大差异’或‘</w:t>
            </w:r>
            <w:r>
              <w:rPr>
                <w:rFonts w:hint="eastAsia" w:ascii="宋体" w:hAnsi="宋体" w:cs="宋体"/>
                <w:szCs w:val="21"/>
                <w:lang w:val="zh-CN"/>
              </w:rPr>
              <w:t>动画/视频/微课的内容与课程清单内容存在较大差异，教学界面截图设计较差’。</w:t>
            </w:r>
            <w:r>
              <w:rPr>
                <w:rFonts w:hint="eastAsia" w:ascii="宋体" w:hAnsi="宋体" w:cs="宋体"/>
                <w:szCs w:val="21"/>
              </w:rPr>
              <w:t>3分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提交的课程清单不符合要求，或者</w:t>
            </w:r>
            <w:r>
              <w:rPr>
                <w:rFonts w:hint="eastAsia" w:ascii="宋体" w:hAnsi="宋体" w:cs="宋体"/>
                <w:szCs w:val="21"/>
                <w:lang w:val="zh-CN"/>
              </w:rPr>
              <w:t>动画/视频/微课</w:t>
            </w:r>
            <w:r>
              <w:rPr>
                <w:rFonts w:hint="eastAsia" w:ascii="宋体" w:hAnsi="宋体" w:cs="宋体"/>
                <w:szCs w:val="21"/>
              </w:rPr>
              <w:t>明显为拼凑。0分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rPr>
                <w:rFonts w:ascii="宋体" w:hAnsi="宋体" w:cs="宋体"/>
                <w:b/>
                <w:szCs w:val="21"/>
                <w:lang w:val="zh-CN"/>
              </w:rPr>
            </w:pPr>
            <w:r>
              <w:rPr>
                <w:rFonts w:hint="eastAsia" w:ascii="宋体" w:hAnsi="宋体" w:cs="宋体"/>
                <w:b/>
                <w:szCs w:val="21"/>
                <w:lang w:val="zh-CN"/>
              </w:rPr>
              <w:t>资源制作方案 (满分</w:t>
            </w:r>
            <w:r>
              <w:rPr>
                <w:rFonts w:ascii="宋体" w:hAnsi="宋体" w:cs="宋体"/>
                <w:b/>
                <w:szCs w:val="21"/>
                <w:lang w:val="zh-CN"/>
              </w:rPr>
              <w:t>10</w:t>
            </w:r>
            <w:r>
              <w:rPr>
                <w:rFonts w:hint="eastAsia" w:ascii="宋体" w:hAnsi="宋体" w:cs="宋体"/>
                <w:b/>
                <w:szCs w:val="21"/>
                <w:lang w:val="zh-CN"/>
              </w:rPr>
              <w:t>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资源制作方案完整、详细，设计科学合理，专业化水平高，可行性强。10分；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资源制作方案较完整、详细，设计较科学合理，专业化水平较高，可行性较强。6分；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资源制作方案完整、详细程度一般，设计不够科学合理，专业化水平一般，可行性一般。3分；</w:t>
            </w:r>
          </w:p>
          <w:p>
            <w:pPr>
              <w:pStyle w:val="30"/>
              <w:numPr>
                <w:ilvl w:val="0"/>
                <w:numId w:val="3"/>
              </w:numPr>
              <w:adjustRightInd w:val="0"/>
              <w:snapToGrid w:val="0"/>
              <w:spacing w:line="360" w:lineRule="auto"/>
              <w:jc w:val="left"/>
              <w:rPr>
                <w:rFonts w:ascii="宋体" w:hAnsi="宋体" w:cs="宋体"/>
                <w:szCs w:val="21"/>
                <w:lang w:val="zh-CN"/>
              </w:rPr>
            </w:pPr>
            <w:r>
              <w:rPr>
                <w:rFonts w:hint="eastAsia" w:ascii="宋体" w:hAnsi="宋体" w:cs="宋体"/>
                <w:szCs w:val="21"/>
              </w:rPr>
              <w:t>其他。0分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6" w:hRule="atLeast"/>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hint="eastAsia" w:ascii="宋体" w:hAnsi="宋体" w:eastAsia="仿宋" w:cs="宋体"/>
                <w:szCs w:val="21"/>
                <w:lang w:val="en-US" w:eastAsia="zh-CN"/>
              </w:rPr>
            </w:pPr>
            <w:r>
              <w:rPr>
                <w:rFonts w:hint="eastAsia" w:hAnsi="宋体" w:cs="宋体"/>
                <w:szCs w:val="21"/>
                <w:lang w:val="en-US" w:eastAsia="zh-CN"/>
              </w:rPr>
              <w:t>10</w:t>
            </w:r>
          </w:p>
        </w:tc>
        <w:tc>
          <w:tcPr>
            <w:tcW w:w="7128" w:type="dxa"/>
            <w:tcBorders>
              <w:top w:val="single" w:color="auto" w:sz="4" w:space="0"/>
              <w:left w:val="single" w:color="auto" w:sz="4" w:space="0"/>
              <w:right w:val="single" w:color="auto" w:sz="4" w:space="0"/>
            </w:tcBorders>
            <w:shd w:val="clear" w:color="auto" w:fill="auto"/>
            <w:vAlign w:val="center"/>
          </w:tcPr>
          <w:p>
            <w:pPr>
              <w:spacing w:line="400" w:lineRule="exact"/>
              <w:rPr>
                <w:rFonts w:ascii="宋体" w:hAnsi="宋体" w:cs="宋体"/>
                <w:b/>
                <w:szCs w:val="21"/>
              </w:rPr>
            </w:pPr>
            <w:r>
              <w:rPr>
                <w:rFonts w:hint="eastAsia" w:ascii="宋体" w:hAnsi="宋体" w:cs="宋体"/>
                <w:b/>
                <w:szCs w:val="21"/>
              </w:rPr>
              <w:t>整体项目方案的合理性、可行性(满分10分)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全面分析了用户对于资源制作的要求，对于本项目任务目标及需求了解充分，质量保障及进度安排合理可行，方案完整详细、进度合理，人员配备科学、可行性强。10分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对于用户对于资源制作的要求阐述较充分，对于本项目任务目标及需求较了解，质量保障及进度安排较合理可行，方案完整较详细、进度较合理，人员配备较科学、可行性较强。6分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对于用户对于+资源制作的要求的阐述不够充分，对于本项目任务目标及需求不够了解，质量保障及进度安排一般，人员配备不够科学、可行性一般。3分</w:t>
            </w:r>
          </w:p>
          <w:p>
            <w:pPr>
              <w:pStyle w:val="30"/>
              <w:numPr>
                <w:ilvl w:val="0"/>
                <w:numId w:val="3"/>
              </w:numPr>
              <w:adjustRightInd w:val="0"/>
              <w:snapToGrid w:val="0"/>
              <w:spacing w:line="360" w:lineRule="auto"/>
              <w:jc w:val="left"/>
              <w:rPr>
                <w:rFonts w:ascii="宋体" w:hAnsi="宋体" w:cs="宋体"/>
                <w:szCs w:val="21"/>
              </w:rPr>
            </w:pPr>
            <w:r>
              <w:rPr>
                <w:rFonts w:hint="eastAsia" w:hAnsi="宋体" w:cs="宋体"/>
                <w:szCs w:val="21"/>
                <w:lang w:eastAsia="zh-CN"/>
              </w:rPr>
              <w:t>响应商</w:t>
            </w:r>
            <w:r>
              <w:rPr>
                <w:rFonts w:hint="eastAsia" w:ascii="宋体" w:hAnsi="宋体" w:cs="宋体"/>
                <w:szCs w:val="21"/>
              </w:rPr>
              <w:t>未提供服务方案。0分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jc w:val="center"/>
              <w:rPr>
                <w:rFonts w:hint="eastAsia" w:ascii="宋体" w:hAnsi="宋体" w:cs="宋体"/>
                <w:szCs w:val="21"/>
                <w:lang w:val="en-US" w:eastAsia="zh-CN"/>
              </w:rPr>
            </w:pPr>
            <w:r>
              <w:rPr>
                <w:rFonts w:hint="eastAsia" w:ascii="宋体" w:hAnsi="宋体" w:cs="宋体"/>
                <w:szCs w:val="21"/>
                <w:lang w:val="en-US" w:eastAsia="zh-CN"/>
              </w:rPr>
              <w:t>30</w:t>
            </w:r>
          </w:p>
          <w:p>
            <w:pPr>
              <w:adjustRightInd w:val="0"/>
              <w:snapToGrid w:val="0"/>
              <w:spacing w:line="360" w:lineRule="auto"/>
              <w:jc w:val="center"/>
              <w:rPr>
                <w:rFonts w:ascii="宋体" w:hAnsi="宋体" w:cs="宋体"/>
                <w:szCs w:val="21"/>
              </w:rPr>
            </w:pPr>
            <w:r>
              <w:rPr>
                <w:rFonts w:hint="eastAsia" w:ascii="宋体" w:hAnsi="宋体" w:cs="宋体"/>
                <w:szCs w:val="21"/>
              </w:rPr>
              <w:t>（本项演示每个</w:t>
            </w:r>
            <w:r>
              <w:rPr>
                <w:rFonts w:hint="eastAsia" w:hAnsi="宋体" w:cs="宋体"/>
                <w:szCs w:val="21"/>
                <w:lang w:eastAsia="zh-CN"/>
              </w:rPr>
              <w:t>响应商</w:t>
            </w:r>
            <w:r>
              <w:rPr>
                <w:rFonts w:hint="eastAsia" w:ascii="宋体" w:hAnsi="宋体" w:cs="宋体"/>
                <w:szCs w:val="21"/>
              </w:rPr>
              <w:t>时间为20分钟）</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b/>
                <w:szCs w:val="21"/>
              </w:rPr>
            </w:pPr>
            <w:r>
              <w:rPr>
                <w:rFonts w:hint="eastAsia" w:ascii="宋体" w:hAnsi="宋体"/>
                <w:b/>
                <w:szCs w:val="21"/>
              </w:rPr>
              <w:t>现场需演示以下软件项目（满分</w:t>
            </w:r>
            <w:r>
              <w:rPr>
                <w:rFonts w:hint="eastAsia" w:hAnsi="宋体"/>
                <w:b/>
                <w:szCs w:val="21"/>
                <w:lang w:val="en-US" w:eastAsia="zh-CN"/>
              </w:rPr>
              <w:t>28</w:t>
            </w:r>
            <w:r>
              <w:rPr>
                <w:rFonts w:hint="eastAsia" w:ascii="宋体" w:hAnsi="宋体"/>
                <w:b/>
                <w:szCs w:val="21"/>
              </w:rPr>
              <w:t>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要求现场演示二维+三维动画（满分6分）</w:t>
            </w:r>
          </w:p>
          <w:p>
            <w:pPr>
              <w:pStyle w:val="30"/>
              <w:widowControl/>
              <w:spacing w:after="0" w:line="400" w:lineRule="exact"/>
              <w:ind w:left="960"/>
              <w:jc w:val="left"/>
              <w:rPr>
                <w:rFonts w:ascii="宋体" w:hAnsi="宋体" w:cs="宋体"/>
                <w:color w:val="000000" w:themeColor="text1"/>
                <w:kern w:val="0"/>
                <w:szCs w:val="21"/>
                <w14:textFill>
                  <w14:solidFill>
                    <w14:schemeClr w14:val="tx1"/>
                  </w14:solidFill>
                </w14:textFill>
              </w:rPr>
            </w:pPr>
            <w:r>
              <w:rPr>
                <w:rFonts w:hint="eastAsia" w:asciiTheme="majorEastAsia" w:hAnsiTheme="majorEastAsia" w:eastAsiaTheme="majorEastAsia" w:cstheme="majorEastAsia"/>
                <w:kern w:val="0"/>
                <w:szCs w:val="21"/>
              </w:rPr>
              <w:t>（1）</w:t>
            </w:r>
            <w:r>
              <w:rPr>
                <w:rFonts w:hint="eastAsia" w:ascii="宋体" w:hAnsi="宋体" w:cs="宋体"/>
                <w:color w:val="000000" w:themeColor="text1"/>
                <w:kern w:val="0"/>
                <w:szCs w:val="21"/>
                <w14:textFill>
                  <w14:solidFill>
                    <w14:schemeClr w14:val="tx1"/>
                  </w14:solidFill>
                </w14:textFill>
              </w:rPr>
              <w:t>车站结构的介绍的三维动画，</w:t>
            </w:r>
          </w:p>
          <w:p>
            <w:pPr>
              <w:pStyle w:val="30"/>
              <w:widowControl/>
              <w:spacing w:after="0" w:line="400" w:lineRule="exact"/>
              <w:ind w:left="960"/>
              <w:jc w:val="left"/>
              <w:rPr>
                <w:rFonts w:asciiTheme="majorEastAsia" w:hAnsiTheme="majorEastAsia" w:eastAsiaTheme="majorEastAsia"/>
              </w:rPr>
            </w:pPr>
            <w:r>
              <w:rPr>
                <w:rFonts w:hint="eastAsia" w:ascii="宋体" w:hAnsi="宋体" w:cs="宋体"/>
                <w:color w:val="000000" w:themeColor="text1"/>
                <w:kern w:val="0"/>
                <w:szCs w:val="21"/>
                <w14:textFill>
                  <w14:solidFill>
                    <w14:schemeClr w14:val="tx1"/>
                  </w14:solidFill>
                </w14:textFill>
              </w:rPr>
              <w:t>（2）</w:t>
            </w:r>
            <w:r>
              <w:rPr>
                <w:rFonts w:hint="eastAsia" w:asciiTheme="majorEastAsia" w:hAnsiTheme="majorEastAsia" w:eastAsiaTheme="majorEastAsia" w:cstheme="majorEastAsia"/>
                <w:kern w:val="0"/>
                <w:szCs w:val="21"/>
              </w:rPr>
              <w:t>现场演示道岔动画。</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要求现场演示地铁公司真实现场拍摄的车站BAS系统的操作介绍（满分6分）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要求现场演示地铁公司真实现场拍摄的异常票卡处理流程视频</w:t>
            </w:r>
            <w:r>
              <w:rPr>
                <w:rFonts w:hint="eastAsia" w:asciiTheme="majorEastAsia" w:hAnsiTheme="majorEastAsia" w:eastAsiaTheme="majorEastAsia"/>
              </w:rPr>
              <w:t>（满分6分）</w:t>
            </w:r>
          </w:p>
          <w:p>
            <w:pPr>
              <w:pStyle w:val="30"/>
              <w:widowControl/>
              <w:numPr>
                <w:ilvl w:val="0"/>
                <w:numId w:val="4"/>
              </w:numPr>
              <w:spacing w:after="0" w:line="400" w:lineRule="exact"/>
              <w:jc w:val="left"/>
              <w:rPr>
                <w:rFonts w:ascii="宋体" w:hAnsi="宋体" w:cs="宋体"/>
                <w:b/>
                <w:szCs w:val="21"/>
              </w:rPr>
            </w:pPr>
            <w:r>
              <w:rPr>
                <w:rFonts w:hint="eastAsia" w:asciiTheme="majorEastAsia" w:hAnsiTheme="majorEastAsia" w:eastAsiaTheme="majorEastAsia" w:cstheme="majorEastAsia"/>
                <w:kern w:val="0"/>
                <w:szCs w:val="21"/>
              </w:rPr>
              <w:t>要求现场演示电话闭塞行车法</w:t>
            </w:r>
            <w:r>
              <w:rPr>
                <w:rFonts w:hint="eastAsia" w:asciiTheme="majorEastAsia" w:hAnsiTheme="majorEastAsia" w:eastAsiaTheme="majorEastAsia"/>
              </w:rPr>
              <w:t>（满分6分）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要求现场演示地铁公司真实现场的列车整备作业流程</w:t>
            </w:r>
            <w:r>
              <w:rPr>
                <w:rFonts w:hint="eastAsia" w:asciiTheme="majorEastAsia" w:hAnsiTheme="majorEastAsia" w:eastAsiaTheme="majorEastAsia"/>
              </w:rPr>
              <w:t>（满分</w:t>
            </w:r>
            <w:r>
              <w:rPr>
                <w:rFonts w:hint="eastAsia" w:asciiTheme="majorEastAsia" w:hAnsiTheme="majorEastAsia" w:eastAsiaTheme="majorEastAsia"/>
                <w:lang w:val="en-US" w:eastAsia="zh-CN"/>
              </w:rPr>
              <w:t>4</w:t>
            </w:r>
            <w:r>
              <w:rPr>
                <w:rFonts w:hint="eastAsia" w:asciiTheme="majorEastAsia" w:hAnsiTheme="majorEastAsia" w:eastAsiaTheme="majorEastAsia"/>
              </w:rPr>
              <w:t>分）</w:t>
            </w:r>
          </w:p>
          <w:p>
            <w:pPr>
              <w:widowControl/>
              <w:spacing w:after="0" w:line="400" w:lineRule="exact"/>
              <w:jc w:val="left"/>
              <w:rPr>
                <w:rFonts w:asciiTheme="majorEastAsia" w:hAnsiTheme="majorEastAsia" w:eastAsiaTheme="majorEastAsia"/>
                <w:b/>
              </w:rPr>
            </w:pPr>
            <w:r>
              <w:rPr>
                <w:rFonts w:hint="eastAsia" w:asciiTheme="majorEastAsia" w:hAnsiTheme="majorEastAsia" w:eastAsiaTheme="majorEastAsia"/>
                <w:b/>
              </w:rPr>
              <w:t>其中：</w:t>
            </w:r>
          </w:p>
          <w:p>
            <w:pPr>
              <w:spacing w:after="0" w:line="360" w:lineRule="auto"/>
              <w:rPr>
                <w:rFonts w:hint="eastAsia" w:ascii="宋体" w:hAnsi="宋体" w:eastAsia="仿宋" w:cs="宋体"/>
                <w:szCs w:val="21"/>
                <w:lang w:eastAsia="zh-CN"/>
              </w:rPr>
            </w:pPr>
            <w:r>
              <w:rPr>
                <w:rFonts w:hint="eastAsia" w:ascii="宋体" w:hAnsi="宋体" w:cs="宋体"/>
                <w:szCs w:val="21"/>
              </w:rPr>
              <w:t>现场演示的动画/视频/微课内容清晰完整，流程正确，内容讲解逻辑强，提交的动画/视频/微课内容优秀</w:t>
            </w:r>
            <w:r>
              <w:rPr>
                <w:rFonts w:hint="eastAsia" w:hAnsi="宋体" w:cs="宋体"/>
                <w:szCs w:val="21"/>
                <w:lang w:val="en-US" w:eastAsia="zh-CN"/>
              </w:rPr>
              <w:t>为满</w:t>
            </w:r>
            <w:r>
              <w:rPr>
                <w:rFonts w:hint="eastAsia" w:ascii="宋体" w:hAnsi="宋体" w:cs="宋体"/>
                <w:szCs w:val="21"/>
              </w:rPr>
              <w:t>分</w:t>
            </w:r>
            <w:r>
              <w:rPr>
                <w:rFonts w:hint="eastAsia" w:hAnsi="宋体" w:cs="宋体"/>
                <w:szCs w:val="21"/>
                <w:lang w:eastAsia="zh-CN"/>
              </w:rPr>
              <w:t>；</w:t>
            </w:r>
          </w:p>
          <w:p>
            <w:pPr>
              <w:spacing w:after="0" w:line="360" w:lineRule="auto"/>
              <w:rPr>
                <w:rFonts w:hint="eastAsia" w:ascii="宋体" w:hAnsi="宋体" w:eastAsia="仿宋" w:cs="宋体"/>
                <w:szCs w:val="21"/>
                <w:lang w:val="en-US" w:eastAsia="zh-CN"/>
              </w:rPr>
            </w:pPr>
            <w:r>
              <w:rPr>
                <w:rFonts w:hint="eastAsia" w:ascii="宋体" w:hAnsi="宋体" w:cs="宋体"/>
                <w:szCs w:val="21"/>
              </w:rPr>
              <w:t>现场演示的动画/视频/微课内容内容有缺失，流程有错误、提交的动画/视频/微课内容质量一般</w:t>
            </w:r>
            <w:r>
              <w:rPr>
                <w:rFonts w:hint="eastAsia" w:hAnsi="宋体" w:cs="宋体"/>
                <w:szCs w:val="21"/>
                <w:lang w:val="en-US" w:eastAsia="zh-CN"/>
              </w:rPr>
              <w:t>为</w:t>
            </w:r>
            <w:r>
              <w:rPr>
                <w:rFonts w:hint="eastAsia" w:ascii="宋体" w:hAnsi="宋体" w:cs="宋体"/>
                <w:szCs w:val="21"/>
              </w:rPr>
              <w:t>3分</w:t>
            </w:r>
            <w:r>
              <w:rPr>
                <w:rFonts w:hint="eastAsia" w:hAnsi="宋体" w:cs="宋体"/>
                <w:szCs w:val="21"/>
                <w:lang w:eastAsia="zh-CN"/>
              </w:rPr>
              <w:t>，</w:t>
            </w:r>
            <w:r>
              <w:rPr>
                <w:rFonts w:hint="eastAsia" w:hAnsi="宋体" w:cs="宋体"/>
                <w:szCs w:val="21"/>
                <w:lang w:val="en-US" w:eastAsia="zh-CN"/>
              </w:rPr>
              <w:t>其中第五项为2分；</w:t>
            </w:r>
          </w:p>
          <w:p>
            <w:pPr>
              <w:spacing w:after="0" w:line="360" w:lineRule="auto"/>
              <w:rPr>
                <w:rFonts w:hint="eastAsia" w:ascii="宋体" w:hAnsi="宋体" w:eastAsia="仿宋" w:cs="宋体"/>
                <w:szCs w:val="21"/>
                <w:lang w:eastAsia="zh-CN"/>
              </w:rPr>
            </w:pPr>
            <w:r>
              <w:rPr>
                <w:rFonts w:hint="eastAsia" w:ascii="宋体" w:hAnsi="宋体" w:cs="宋体"/>
                <w:szCs w:val="21"/>
              </w:rPr>
              <w:t>不能提供</w:t>
            </w:r>
            <w:r>
              <w:rPr>
                <w:rFonts w:hint="eastAsia" w:hAnsi="宋体" w:cs="宋体"/>
                <w:szCs w:val="21"/>
                <w:lang w:eastAsia="zh-CN"/>
              </w:rPr>
              <w:t>磋商文件</w:t>
            </w:r>
            <w:r>
              <w:rPr>
                <w:rFonts w:hint="eastAsia" w:ascii="宋体" w:hAnsi="宋体" w:cs="宋体"/>
                <w:szCs w:val="21"/>
              </w:rPr>
              <w:t>所有要求的软件内容，或动画/视频/微课内容质量较差</w:t>
            </w:r>
            <w:r>
              <w:rPr>
                <w:rFonts w:hint="eastAsia" w:hAnsi="宋体" w:cs="宋体"/>
                <w:szCs w:val="21"/>
                <w:lang w:val="en-US" w:eastAsia="zh-CN"/>
              </w:rPr>
              <w:t>为</w:t>
            </w:r>
            <w:r>
              <w:rPr>
                <w:rFonts w:hint="eastAsia" w:ascii="宋体" w:hAnsi="宋体" w:cs="宋体"/>
                <w:szCs w:val="21"/>
              </w:rPr>
              <w:t>0分</w:t>
            </w:r>
            <w:r>
              <w:rPr>
                <w:rFonts w:hint="eastAsia" w:hAnsi="宋体" w:cs="宋体"/>
                <w:szCs w:val="21"/>
                <w:lang w:eastAsia="zh-CN"/>
              </w:rPr>
              <w:t>。</w:t>
            </w:r>
          </w:p>
          <w:p>
            <w:pPr>
              <w:widowControl/>
              <w:spacing w:after="0" w:line="360" w:lineRule="auto"/>
              <w:jc w:val="left"/>
              <w:rPr>
                <w:rFonts w:asciiTheme="majorEastAsia" w:hAnsiTheme="majorEastAsia" w:eastAsiaTheme="majorEastAsia"/>
              </w:rPr>
            </w:pPr>
          </w:p>
          <w:p>
            <w:pPr>
              <w:adjustRightInd w:val="0"/>
              <w:snapToGrid w:val="0"/>
              <w:spacing w:after="0" w:line="360" w:lineRule="auto"/>
              <w:rPr>
                <w:rFonts w:ascii="宋体" w:hAnsi="宋体" w:cs="宋体"/>
                <w:b/>
                <w:szCs w:val="21"/>
              </w:rPr>
            </w:pPr>
            <w:r>
              <w:rPr>
                <w:rFonts w:hint="eastAsia" w:ascii="宋体" w:hAnsi="宋体" w:cs="宋体"/>
                <w:b/>
                <w:szCs w:val="21"/>
              </w:rPr>
              <w:t>基本要求：</w:t>
            </w:r>
          </w:p>
          <w:p>
            <w:pPr>
              <w:adjustRightInd w:val="0"/>
              <w:snapToGrid w:val="0"/>
              <w:spacing w:after="0" w:line="360" w:lineRule="auto"/>
              <w:rPr>
                <w:rFonts w:ascii="宋体" w:hAnsi="宋体" w:cs="宋体"/>
                <w:szCs w:val="21"/>
              </w:rPr>
            </w:pPr>
            <w:r>
              <w:rPr>
                <w:rFonts w:hint="eastAsia" w:ascii="宋体" w:hAnsi="宋体" w:cs="宋体"/>
                <w:szCs w:val="21"/>
              </w:rPr>
              <w:t>1、其中现场展示视频资源必须为原创高清作品，视频须有制造商logo，从网络截取等渠道作品将导致严重扣分）</w:t>
            </w:r>
          </w:p>
          <w:p>
            <w:pPr>
              <w:adjustRightInd w:val="0"/>
              <w:snapToGrid w:val="0"/>
              <w:spacing w:after="0" w:line="360" w:lineRule="auto"/>
              <w:rPr>
                <w:rFonts w:ascii="宋体" w:hAnsi="宋体" w:cs="宋体"/>
                <w:szCs w:val="21"/>
              </w:rPr>
            </w:pPr>
            <w:r>
              <w:rPr>
                <w:rFonts w:hint="eastAsia" w:ascii="宋体" w:hAnsi="宋体" w:cs="宋体"/>
                <w:szCs w:val="21"/>
              </w:rPr>
              <w:t>2、反映场景需真实，如车站场景或手摇道岔场景。</w:t>
            </w:r>
          </w:p>
          <w:p>
            <w:pPr>
              <w:adjustRightInd w:val="0"/>
              <w:snapToGrid w:val="0"/>
              <w:spacing w:after="0" w:line="360" w:lineRule="auto"/>
              <w:rPr>
                <w:rFonts w:ascii="宋体" w:hAnsi="宋体" w:cs="宋体"/>
                <w:szCs w:val="21"/>
              </w:rPr>
            </w:pPr>
            <w:r>
              <w:rPr>
                <w:rFonts w:hint="eastAsia" w:ascii="宋体" w:hAnsi="宋体" w:cs="宋体"/>
                <w:szCs w:val="21"/>
              </w:rPr>
              <w:t>3.能描述相关操作的详细过程。</w:t>
            </w:r>
          </w:p>
          <w:p>
            <w:pPr>
              <w:adjustRightInd w:val="0"/>
              <w:snapToGrid w:val="0"/>
              <w:spacing w:after="0" w:line="360" w:lineRule="auto"/>
              <w:rPr>
                <w:rFonts w:ascii="宋体" w:hAnsi="宋体" w:cs="宋体"/>
                <w:szCs w:val="21"/>
              </w:rPr>
            </w:pPr>
            <w:r>
              <w:rPr>
                <w:rFonts w:hint="eastAsia" w:ascii="宋体" w:hAnsi="宋体" w:cs="宋体"/>
                <w:szCs w:val="21"/>
              </w:rPr>
              <w:t>4.配音清晰完整。</w:t>
            </w:r>
          </w:p>
          <w:p>
            <w:pPr>
              <w:adjustRightInd w:val="0"/>
              <w:snapToGrid w:val="0"/>
              <w:spacing w:after="0" w:line="360" w:lineRule="auto"/>
              <w:rPr>
                <w:rFonts w:ascii="宋体" w:hAnsi="宋体" w:cs="宋体"/>
                <w:szCs w:val="21"/>
              </w:rPr>
            </w:pPr>
            <w:r>
              <w:rPr>
                <w:rFonts w:hint="eastAsia" w:ascii="宋体" w:hAnsi="宋体" w:cs="宋体"/>
                <w:szCs w:val="21"/>
              </w:rPr>
              <w:t>5.其中虚拟操作软件可由系统自动评分。</w:t>
            </w:r>
          </w:p>
          <w:p>
            <w:pPr>
              <w:spacing w:line="400" w:lineRule="exact"/>
              <w:rPr>
                <w:rFonts w:ascii="宋体" w:hAnsi="宋体"/>
                <w:b/>
                <w:szCs w:val="21"/>
              </w:rPr>
            </w:pPr>
            <w:r>
              <w:rPr>
                <w:rFonts w:hint="eastAsia" w:ascii="宋体" w:hAnsi="宋体"/>
                <w:b/>
                <w:szCs w:val="21"/>
              </w:rPr>
              <w:t>现场需演示积件资源库内容（满分2分）：</w:t>
            </w:r>
          </w:p>
          <w:p>
            <w:pPr>
              <w:widowControl/>
              <w:spacing w:after="0" w:line="400" w:lineRule="exact"/>
              <w:jc w:val="left"/>
              <w:rPr>
                <w:rFonts w:asciiTheme="majorEastAsia" w:hAnsiTheme="majorEastAsia" w:eastAsiaTheme="majorEastAsia"/>
              </w:rPr>
            </w:pPr>
            <w:r>
              <w:rPr>
                <w:rFonts w:hint="eastAsia" w:asciiTheme="majorEastAsia" w:hAnsiTheme="majorEastAsia" w:eastAsiaTheme="majorEastAsia"/>
              </w:rPr>
              <w:t>要求</w:t>
            </w:r>
            <w:r>
              <w:rPr>
                <w:rFonts w:hint="eastAsia" w:asciiTheme="majorEastAsia" w:hAnsiTheme="majorEastAsia" w:eastAsiaTheme="majorEastAsia"/>
                <w:lang w:eastAsia="zh-CN"/>
              </w:rPr>
              <w:t>响应商</w:t>
            </w:r>
            <w:r>
              <w:rPr>
                <w:rFonts w:hint="eastAsia" w:asciiTheme="majorEastAsia" w:hAnsiTheme="majorEastAsia" w:eastAsiaTheme="majorEastAsia"/>
              </w:rPr>
              <w:t>演示积件资源库windows清单，清单数量不少于</w:t>
            </w:r>
            <w:r>
              <w:rPr>
                <w:rFonts w:asciiTheme="majorEastAsia" w:hAnsiTheme="majorEastAsia" w:eastAsiaTheme="majorEastAsia"/>
              </w:rPr>
              <w:t>1</w:t>
            </w:r>
            <w:r>
              <w:rPr>
                <w:rFonts w:hint="eastAsia" w:asciiTheme="majorEastAsia" w:hAnsiTheme="majorEastAsia" w:eastAsiaTheme="majorEastAsia"/>
              </w:rPr>
              <w:t>万条，并做现场展示。</w:t>
            </w:r>
          </w:p>
          <w:p>
            <w:pPr>
              <w:widowControl/>
              <w:spacing w:after="0" w:line="400" w:lineRule="exact"/>
              <w:jc w:val="left"/>
              <w:rPr>
                <w:rFonts w:asciiTheme="majorEastAsia" w:hAnsiTheme="majorEastAsia" w:eastAsiaTheme="majorEastAsia"/>
                <w:b/>
              </w:rPr>
            </w:pPr>
            <w:r>
              <w:rPr>
                <w:rFonts w:hint="eastAsia" w:asciiTheme="majorEastAsia" w:hAnsiTheme="majorEastAsia" w:eastAsiaTheme="majorEastAsia"/>
                <w:b/>
              </w:rPr>
              <w:t>其中：</w:t>
            </w:r>
          </w:p>
          <w:p>
            <w:pPr>
              <w:spacing w:after="0" w:line="360" w:lineRule="auto"/>
              <w:rPr>
                <w:rFonts w:ascii="宋体" w:hAnsi="宋体" w:cs="宋体"/>
                <w:szCs w:val="21"/>
              </w:rPr>
            </w:pPr>
            <w:r>
              <w:rPr>
                <w:rFonts w:hint="eastAsia" w:ascii="宋体" w:hAnsi="宋体" w:cs="宋体"/>
                <w:szCs w:val="21"/>
              </w:rPr>
              <w:t>可提供</w:t>
            </w:r>
            <w:r>
              <w:rPr>
                <w:rFonts w:hint="eastAsia" w:asciiTheme="majorEastAsia" w:hAnsiTheme="majorEastAsia" w:eastAsiaTheme="majorEastAsia"/>
              </w:rPr>
              <w:t>积件资源库windows清单，清单数量不少于</w:t>
            </w:r>
            <w:r>
              <w:rPr>
                <w:rFonts w:asciiTheme="majorEastAsia" w:hAnsiTheme="majorEastAsia" w:eastAsiaTheme="majorEastAsia"/>
              </w:rPr>
              <w:t>1</w:t>
            </w:r>
            <w:r>
              <w:rPr>
                <w:rFonts w:hint="eastAsia" w:asciiTheme="majorEastAsia" w:hAnsiTheme="majorEastAsia" w:eastAsiaTheme="majorEastAsia"/>
              </w:rPr>
              <w:t>万条。</w:t>
            </w:r>
            <w:r>
              <w:rPr>
                <w:rFonts w:hint="eastAsia" w:ascii="宋体" w:hAnsi="宋体" w:cs="宋体"/>
                <w:szCs w:val="21"/>
              </w:rPr>
              <w:t>2分</w:t>
            </w:r>
          </w:p>
          <w:p>
            <w:pPr>
              <w:spacing w:after="0" w:line="360" w:lineRule="auto"/>
              <w:rPr>
                <w:rFonts w:asciiTheme="majorEastAsia" w:hAnsiTheme="majorEastAsia" w:eastAsiaTheme="majorEastAsia"/>
                <w:b/>
              </w:rPr>
            </w:pPr>
            <w:r>
              <w:rPr>
                <w:rFonts w:hint="eastAsia" w:ascii="宋体" w:hAnsi="宋体" w:cs="宋体"/>
                <w:szCs w:val="21"/>
              </w:rPr>
              <w:t>不可提供</w:t>
            </w:r>
            <w:r>
              <w:rPr>
                <w:rFonts w:hint="eastAsia" w:asciiTheme="majorEastAsia" w:hAnsiTheme="majorEastAsia" w:eastAsiaTheme="majorEastAsia"/>
              </w:rPr>
              <w:t>积件资源库windows清单，或清单数量少于</w:t>
            </w:r>
            <w:r>
              <w:rPr>
                <w:rFonts w:asciiTheme="majorEastAsia" w:hAnsiTheme="majorEastAsia" w:eastAsiaTheme="majorEastAsia"/>
              </w:rPr>
              <w:t>1</w:t>
            </w:r>
            <w:r>
              <w:rPr>
                <w:rFonts w:hint="eastAsia" w:asciiTheme="majorEastAsia" w:hAnsiTheme="majorEastAsia" w:eastAsiaTheme="majorEastAsia"/>
              </w:rPr>
              <w:t>万条。</w:t>
            </w:r>
            <w:r>
              <w:rPr>
                <w:rFonts w:ascii="宋体" w:hAnsi="宋体" w:cs="宋体"/>
                <w:szCs w:val="21"/>
              </w:rPr>
              <w:t>0</w:t>
            </w:r>
            <w:r>
              <w:rPr>
                <w:rFonts w:hint="eastAsia" w:ascii="宋体" w:hAnsi="宋体" w:cs="宋体"/>
                <w:szCs w:val="21"/>
              </w:rPr>
              <w:t>分</w:t>
            </w:r>
          </w:p>
          <w:p>
            <w:pPr>
              <w:adjustRightInd w:val="0"/>
              <w:snapToGrid w:val="0"/>
              <w:spacing w:after="0" w:line="360" w:lineRule="auto"/>
              <w:rPr>
                <w:rFonts w:ascii="宋体" w:hAnsi="宋体" w:cs="宋体"/>
                <w:szCs w:val="21"/>
              </w:rPr>
            </w:pPr>
          </w:p>
        </w:tc>
      </w:tr>
    </w:tbl>
    <w:p>
      <w:pPr>
        <w:adjustRightInd/>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（1）所有认证、证明和业绩除上表要求外均需提供有效的证明材料复印件加盖公章，同时须提交原件</w:t>
      </w:r>
      <w:r>
        <w:rPr>
          <w:rFonts w:hint="eastAsia" w:ascii="仿宋_GB2312" w:hAnsi="仿宋_GB2312" w:eastAsia="仿宋_GB2312" w:cs="仿宋_GB2312"/>
          <w:sz w:val="28"/>
          <w:szCs w:val="28"/>
          <w:lang w:eastAsia="zh-CN"/>
        </w:rPr>
        <w:t>磋商</w:t>
      </w:r>
      <w:r>
        <w:rPr>
          <w:rFonts w:hint="eastAsia" w:ascii="仿宋_GB2312" w:hAnsi="仿宋_GB2312" w:eastAsia="仿宋_GB2312" w:cs="仿宋_GB2312"/>
          <w:sz w:val="28"/>
          <w:szCs w:val="28"/>
        </w:rPr>
        <w:t>现场核验，无原件不得分。</w:t>
      </w:r>
    </w:p>
    <w:p>
      <w:pPr>
        <w:ind w:firstLine="560" w:firstLineChars="200"/>
        <w:jc w:val="both"/>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商须保证所提供资料的真实性，</w:t>
      </w:r>
      <w:r>
        <w:rPr>
          <w:rStyle w:val="15"/>
          <w:rFonts w:hint="eastAsia" w:ascii="仿宋_GB2312" w:hAnsi="仿宋_GB2312" w:eastAsia="仿宋_GB2312" w:cs="仿宋_GB2312"/>
          <w:i w:val="0"/>
          <w:iCs w:val="0"/>
          <w:sz w:val="28"/>
          <w:szCs w:val="28"/>
          <w:shd w:val="clear" w:color="auto" w:fill="FFFFFF"/>
        </w:rPr>
        <w:t>采购人有权在磋商的</w:t>
      </w:r>
      <w:r>
        <w:rPr>
          <w:rFonts w:hint="eastAsia" w:ascii="仿宋_GB2312" w:hAnsi="仿宋_GB2312" w:eastAsia="仿宋_GB2312" w:cs="仿宋_GB2312"/>
          <w:sz w:val="28"/>
          <w:szCs w:val="28"/>
          <w:shd w:val="clear" w:color="auto" w:fill="FFFFFF"/>
        </w:rPr>
        <w:t>任何阶段进行调查和核实，一经发现虚假，取消其响应资格；已成交的，取消其成交资格；情节严重的追究其法律责任。</w:t>
      </w:r>
    </w:p>
    <w:p>
      <w:pPr>
        <w:ind w:firstLine="548" w:firstLineChars="196"/>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（3）</w:t>
      </w:r>
      <w:r>
        <w:rPr>
          <w:rFonts w:hint="eastAsia" w:ascii="仿宋_GB2312" w:hAnsi="仿宋_GB2312" w:eastAsia="仿宋_GB2312" w:cs="仿宋_GB2312"/>
          <w:sz w:val="28"/>
          <w:szCs w:val="28"/>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所在地的县级以上中小企业主管部门对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为小、微型企业的认定证明复印件；所投标产品的制造商为小、微企业的，</w:t>
      </w:r>
      <w:r>
        <w:rPr>
          <w:rFonts w:hint="eastAsia" w:ascii="仿宋_GB2312" w:hAnsi="仿宋_GB2312" w:eastAsia="仿宋_GB2312" w:cs="仿宋_GB2312"/>
          <w:sz w:val="28"/>
          <w:szCs w:val="28"/>
          <w:lang w:val="zh-CN"/>
        </w:rPr>
        <w:t>必须在“产地“栏内加填</w:t>
      </w:r>
      <w:r>
        <w:rPr>
          <w:rFonts w:hint="eastAsia" w:ascii="仿宋_GB2312" w:hAnsi="仿宋_GB2312" w:eastAsia="仿宋_GB2312" w:cs="仿宋_GB2312"/>
          <w:sz w:val="28"/>
          <w:szCs w:val="28"/>
        </w:rPr>
        <w:t>中小型企业的完整名称，并同时提供该企业所在地的县级以上中小企业主管部门对该企业为小、微型企业的认定证明复印件；如未按要求填写和提供有效证明或</w:t>
      </w:r>
      <w:r>
        <w:rPr>
          <w:rFonts w:hint="eastAsia" w:ascii="仿宋_GB2312" w:hAnsi="仿宋_GB2312" w:eastAsia="仿宋_GB2312" w:cs="仿宋_GB2312"/>
          <w:sz w:val="28"/>
          <w:szCs w:val="28"/>
          <w:lang w:val="zh-CN"/>
        </w:rPr>
        <w:t>相关内容表述不清的，</w:t>
      </w:r>
      <w:r>
        <w:rPr>
          <w:rFonts w:hint="eastAsia" w:ascii="仿宋_GB2312" w:hAnsi="仿宋_GB2312" w:eastAsia="仿宋_GB2312" w:cs="仿宋_GB2312"/>
          <w:sz w:val="28"/>
          <w:szCs w:val="28"/>
        </w:rPr>
        <w:t>不得享受价格扣除。</w:t>
      </w:r>
    </w:p>
    <w:p>
      <w:pPr>
        <w:pStyle w:val="11"/>
        <w:jc w:val="both"/>
        <w:rPr>
          <w:rFonts w:hint="eastAsia" w:ascii="仿宋_GB2312" w:hAnsi="仿宋_GB2312" w:eastAsia="仿宋_GB2312" w:cs="仿宋_GB2312"/>
          <w:b/>
          <w:bCs/>
          <w:sz w:val="28"/>
          <w:szCs w:val="28"/>
        </w:rPr>
      </w:pPr>
    </w:p>
    <w:p>
      <w:pPr>
        <w:widowControl/>
        <w:adjustRightInd/>
        <w:spacing w:line="240" w:lineRule="auto"/>
        <w:jc w:val="both"/>
        <w:textAlignment w:val="auto"/>
        <w:rPr>
          <w:rFonts w:hint="eastAsia" w:ascii="仿宋_GB2312" w:hAnsi="仿宋_GB2312" w:eastAsia="仿宋_GB2312" w:cs="仿宋_GB2312"/>
          <w:b/>
          <w:bCs/>
          <w:kern w:val="44"/>
          <w:sz w:val="28"/>
          <w:szCs w:val="28"/>
        </w:rPr>
      </w:pPr>
      <w:r>
        <w:rPr>
          <w:rFonts w:hint="eastAsia" w:ascii="仿宋_GB2312" w:hAnsi="仿宋_GB2312" w:eastAsia="仿宋_GB2312" w:cs="仿宋_GB2312"/>
          <w:sz w:val="28"/>
          <w:szCs w:val="28"/>
        </w:rPr>
        <w:br w:type="page"/>
      </w:r>
    </w:p>
    <w:p>
      <w:pPr>
        <w:pStyle w:val="2"/>
        <w:spacing w:before="0"/>
        <w:jc w:val="center"/>
        <w:rPr>
          <w:rFonts w:hint="eastAsia" w:ascii="仿宋_GB2312" w:hAnsi="仿宋_GB2312" w:eastAsia="仿宋_GB2312" w:cs="仿宋_GB2312"/>
          <w:b w:val="0"/>
          <w:sz w:val="44"/>
          <w:szCs w:val="44"/>
        </w:rPr>
      </w:pPr>
      <w:bookmarkStart w:id="89" w:name="_Toc31763"/>
      <w:r>
        <w:rPr>
          <w:rFonts w:hint="eastAsia" w:ascii="仿宋_GB2312" w:hAnsi="仿宋_GB2312" w:eastAsia="仿宋_GB2312" w:cs="仿宋_GB2312"/>
          <w:b w:val="0"/>
          <w:sz w:val="44"/>
          <w:szCs w:val="44"/>
        </w:rPr>
        <w:t xml:space="preserve">第四章 </w:t>
      </w:r>
      <w:r>
        <w:rPr>
          <w:rFonts w:hint="eastAsia" w:ascii="仿宋_GB2312" w:hAnsi="仿宋_GB2312" w:eastAsia="仿宋_GB2312" w:cs="仿宋_GB2312"/>
          <w:b w:val="0"/>
          <w:sz w:val="44"/>
          <w:szCs w:val="44"/>
          <w:lang w:val="zh-CN"/>
        </w:rPr>
        <w:t>合同草案条款</w:t>
      </w:r>
      <w:bookmarkEnd w:id="87"/>
      <w:bookmarkEnd w:id="89"/>
    </w:p>
    <w:p>
      <w:pPr>
        <w:adjustRightInd/>
        <w:ind w:firstLine="548" w:firstLineChars="196"/>
        <w:jc w:val="both"/>
        <w:textAlignment w:val="auto"/>
        <w:rPr>
          <w:rFonts w:hint="eastAsia" w:ascii="仿宋_GB2312" w:hAnsi="仿宋_GB2312" w:eastAsia="仿宋_GB2312" w:cs="仿宋_GB2312"/>
          <w:sz w:val="28"/>
          <w:szCs w:val="28"/>
        </w:rPr>
      </w:pPr>
      <w:bookmarkStart w:id="90" w:name="_Toc304906083"/>
      <w:r>
        <w:rPr>
          <w:rFonts w:hint="eastAsia" w:ascii="仿宋_GB2312" w:hAnsi="仿宋_GB2312" w:eastAsia="仿宋_GB2312" w:cs="仿宋_GB2312"/>
          <w:sz w:val="28"/>
          <w:szCs w:val="28"/>
        </w:rPr>
        <w:t>本合同为参考合同</w:t>
      </w:r>
    </w:p>
    <w:p>
      <w:pPr>
        <w:adjustRightInd/>
        <w:ind w:firstLine="548" w:firstLineChars="196"/>
        <w:jc w:val="both"/>
        <w:textAlignment w:val="auto"/>
        <w:rPr>
          <w:rFonts w:hint="eastAsia" w:ascii="仿宋_GB2312" w:hAnsi="仿宋_GB2312" w:eastAsia="仿宋_GB2312" w:cs="仿宋_GB2312"/>
          <w:sz w:val="28"/>
          <w:szCs w:val="28"/>
        </w:rPr>
      </w:pPr>
      <w:bookmarkStart w:id="91" w:name="_Toc8550"/>
      <w:r>
        <w:rPr>
          <w:rFonts w:hint="eastAsia" w:ascii="仿宋_GB2312" w:hAnsi="仿宋_GB2312" w:eastAsia="仿宋_GB2312" w:cs="仿宋_GB2312"/>
          <w:sz w:val="28"/>
          <w:szCs w:val="28"/>
        </w:rPr>
        <w:t>江苏省政府采购合同</w:t>
      </w:r>
      <w:bookmarkEnd w:id="91"/>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项目编号：</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甲方：（买方）_________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乙方：（卖方）_________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甲、乙双方根据              项目公开招标（竞争性谈判，竞争性磋商、单一来源谈判）的结果，签署本合同。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一、采购标的</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产品/服务内容：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服务期限：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 补充条款：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二、合同金额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3.1乙方应按采购文件规定的时间向甲方提供有关技术资料。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四、知识产权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五、产权担保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乙方保证所交付标的的所有权完全属于乙方且无任何抵押、查封等产权瑕疵。</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乙方交纳的投标保证金直接转为履约保证金。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（乙方交纳人民币_________元作为本合同的履约保证金（不超过合同金额的10%）。）</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七、转包或分包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7.1本合同范围内产品或服务，应由乙方直接供应，不得转让他人供应；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 除非得到甲方的书面同意，乙方不得部分分包给他人供应。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7.3如有转让和未经甲方同意的分包行为，甲方有权给予终止合同。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八、质保期</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质保期      年。（自项目验收合格之日起计）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九、交付期、交付方式及交付地点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9.1交付期：_________。   9.2交付方式：_________。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9.3交付地点：_________。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十、合同款支付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10.1付款方式：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十一、税费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本合同执行中相关的一切税费均由乙方负担。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十二、质量保证及售后服务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12.1乙方应按采购文件规定和响应文件承诺的性能、技术要求、质量标准向甲方提供产品或服务。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12.2乙方提供的产品或服务在质保期内因其本身出现质量问题，根据实际情况，经双方协商，可按以下办法处理：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（1）更换：由乙方承担所发生的全部费用。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（2）合同终止处理：合同终止，并退还甲方支付的合同款，同时应承担由此产生的所有费用，甲方不承担发生任何费用。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12.3如在使用过程中发生质量问题，乙方在接到甲方通知后在     小时内到达甲方现场。</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12.4在质保期内，乙方应对产品或服务出现的质量及安全问题负责处理解决并承担一切费用。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12.5合同标的对质量保证和售后服务另有要求的，按采购文件中的相关要求处理。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13.1甲方对乙方提交的产品或服务依据采购文件上的项目需求要求、乙方响应文件及国家有关质量标准进行验收。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13.2乙方交货前应对产品或服务作出全面检查和对验收文件进行整理，并列出清单，作为甲方验收和使用的技术条件依据，检验的结果应随服务一起提交甲方。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13.3甲方对乙方提供的产品或服务在使用前，乙方需负责培训甲方的使用操作人员，并协助甲方一起试用，直到符合技术要求，甲方才做最终验收。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13.4对技术复杂的产品或服务，甲方可请国家认可的专业检测机构参与初步验收及最终验收，并由其出具质量检测报告。</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13.5验收时乙方必须在现场，验收完毕后作出验收结果报告；采购文件规定以外的验收费用由甲乙双方协商解决。</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13.6合同标的对验收另有要求的，按采购文件中的相关要求执行。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十四、合同内容的交付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14.1乙方应保证合同标的安全运达甲方指定地点。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14.2 使用说明书、质量检验证明书一并提交甲方。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14.3 乙方在合同标的交付甲方48小时前通知甲方准备接收。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合同标的在交付甲方前发生的风险均由乙方负责。</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14.5 合同标的在规定的交付期限内由乙方送达甲方指定的地点视为交付，乙方同时需通知甲方已送达；</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14.6合同标的对交付另有要求的，按采购文件中的相关要求执行。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十五、违约责任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甲方无正当理由拒收的，甲方向乙方偿付拒收货款总值的百分之五违约金。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15.2 甲方无故逾期验收和办理合同款支付手续的,甲方应按逾期付款总额每日万分之五向乙方支付违约金。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十六、不可抗力事件处理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16.1 在合同有效期内，任何一方因不可抗力事件导致不能履行合同，则合同履行期延长，其延长期与不可抗力影响期相同。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16.2 不可抗力事件发生后，应立即通知对方，并寄送有关权威机构出具的证明。</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16.3 不可抗力事件延续120天以上，双方应通过友好协商，确定是否继续履行合同。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十七、诉讼</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17.1 双方在执行合同中所发生的一切争议，应通过协商解决。如协商不成，可向合同签订地法院起诉，合同签订地在此约定为南京市。</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十八、合同生效及其它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18.1 合同经双方法定代表人或授权委托代表人签字并加盖单位公章后生效。</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18.2本合同未尽事宜，遵照《合同法》有关条文执行。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18.3 本合同正本一式四份，具有同等法律效力，甲方执三份，乙方执一份。</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甲方：                                   乙方：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地址：                                   地址：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法定代表人或授权代表：                法定代表人或授权代表：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联系电话：                               联系电话：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签订日期：      年  月  日</w:t>
      </w: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center"/>
        <w:rPr>
          <w:rFonts w:hint="eastAsia" w:ascii="仿宋_GB2312" w:hAnsi="仿宋_GB2312" w:eastAsia="仿宋_GB2312" w:cs="仿宋_GB2312"/>
          <w:sz w:val="28"/>
          <w:szCs w:val="28"/>
        </w:rPr>
      </w:pPr>
      <w:bookmarkStart w:id="92" w:name="_Toc3061"/>
    </w:p>
    <w:p>
      <w:pPr>
        <w:pStyle w:val="2"/>
        <w:keepNext w:val="0"/>
        <w:keepLines w:val="0"/>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第五章  </w:t>
      </w:r>
      <w:bookmarkEnd w:id="90"/>
      <w:r>
        <w:rPr>
          <w:rFonts w:hint="eastAsia" w:ascii="仿宋_GB2312" w:hAnsi="仿宋_GB2312" w:eastAsia="仿宋_GB2312" w:cs="仿宋_GB2312"/>
          <w:sz w:val="28"/>
          <w:szCs w:val="28"/>
        </w:rPr>
        <w:t>采购需求</w:t>
      </w:r>
      <w:bookmarkEnd w:id="92"/>
    </w:p>
    <w:tbl>
      <w:tblPr>
        <w:tblStyle w:val="17"/>
        <w:tblW w:w="90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4"/>
        <w:gridCol w:w="1175"/>
        <w:gridCol w:w="1024"/>
        <w:gridCol w:w="827"/>
        <w:gridCol w:w="677"/>
        <w:gridCol w:w="4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3" w:hRule="atLeast"/>
        </w:trPr>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课程</w:t>
            </w:r>
          </w:p>
        </w:tc>
        <w:tc>
          <w:tcPr>
            <w:tcW w:w="11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项目</w:t>
            </w: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任务</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资源类型</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数量</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资源知识点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13" w:hRule="atLeast"/>
        </w:trPr>
        <w:tc>
          <w:tcPr>
            <w:tcW w:w="714"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城市轨道交通站务管理</w:t>
            </w: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城轨车站认知</w:t>
            </w:r>
          </w:p>
        </w:tc>
        <w:tc>
          <w:tcPr>
            <w:tcW w:w="1024"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认知车站类型</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color w:val="000000" w:themeColor="text1"/>
                <w:kern w:val="0"/>
                <w:sz w:val="21"/>
                <w:szCs w:val="21"/>
                <w14:textFill>
                  <w14:solidFill>
                    <w14:schemeClr w14:val="tx1"/>
                  </w14:solidFill>
                </w14:textFill>
              </w:rPr>
            </w:pPr>
            <w:r>
              <w:rPr>
                <w:rFonts w:hint="eastAsia" w:ascii="宋体" w:hAnsi="宋体" w:eastAsia="宋体" w:cs="宋体"/>
                <w:b w:val="0"/>
                <w:bCs/>
                <w:color w:val="000000" w:themeColor="text1"/>
                <w:kern w:val="0"/>
                <w:sz w:val="21"/>
                <w:szCs w:val="21"/>
                <w14:textFill>
                  <w14:solidFill>
                    <w14:schemeClr w14:val="tx1"/>
                  </w14:solidFill>
                </w14:textFill>
              </w:rPr>
              <w:t>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b/>
                <w:color w:val="000000" w:themeColor="text1"/>
                <w:sz w:val="21"/>
                <w:szCs w:val="21"/>
                <w14:textFill>
                  <w14:solidFill>
                    <w14:schemeClr w14:val="tx1"/>
                  </w14:solidFill>
                </w14:textFill>
              </w:rPr>
            </w:pPr>
            <w:r>
              <w:rPr>
                <w:rStyle w:val="29"/>
                <w:rFonts w:hint="eastAsia" w:ascii="宋体" w:hAnsi="宋体" w:eastAsia="宋体" w:cs="宋体"/>
                <w:b/>
                <w:color w:val="000000" w:themeColor="text1"/>
                <w:sz w:val="21"/>
                <w:szCs w:val="21"/>
                <w14:textFill>
                  <w14:solidFill>
                    <w14:schemeClr w14:val="tx1"/>
                  </w14:solidFill>
                </w14:textFill>
              </w:rPr>
              <w:t>1</w:t>
            </w:r>
          </w:p>
        </w:tc>
        <w:tc>
          <w:tcPr>
            <w:tcW w:w="4630" w:type="dxa"/>
            <w:vMerge w:val="restart"/>
            <w:vAlign w:val="center"/>
          </w:tcPr>
          <w:p>
            <w:pPr>
              <w:pStyle w:val="30"/>
              <w:keepNext w:val="0"/>
              <w:keepLines w:val="0"/>
              <w:pageBreakBefore w:val="0"/>
              <w:numPr>
                <w:ilvl w:val="0"/>
                <w:numId w:val="5"/>
              </w:numPr>
              <w:kinsoku/>
              <w:wordWrap/>
              <w:overflowPunct/>
              <w:topLinePunct w:val="0"/>
              <w:autoSpaceDE/>
              <w:autoSpaceDN/>
              <w:bidi w:val="0"/>
              <w:adjustRightInd/>
              <w:snapToGrid/>
              <w:spacing w:line="240" w:lineRule="auto"/>
              <w:ind w:firstLineChars="0"/>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车站类型模块资源采用视频、Flash图文动画形式介绍和讲解轨道线路和车站分类等内容，让学生对车站类型有基本的了解。</w:t>
            </w:r>
          </w:p>
          <w:p>
            <w:pPr>
              <w:keepNext w:val="0"/>
              <w:keepLines w:val="0"/>
              <w:pageBreakBefore w:val="0"/>
              <w:kinsoku/>
              <w:wordWrap/>
              <w:overflowPunct/>
              <w:topLinePunct w:val="0"/>
              <w:autoSpaceDE/>
              <w:autoSpaceDN/>
              <w:bidi w:val="0"/>
              <w:adjustRightInd/>
              <w:snapToGrid/>
              <w:spacing w:line="240" w:lineRule="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210" w:firstLineChars="10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轨道线路分类</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车站分类</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kinsoku/>
              <w:wordWrap/>
              <w:overflowPunct/>
              <w:topLinePunct w:val="0"/>
              <w:autoSpaceDE/>
              <w:autoSpaceDN/>
              <w:bidi w:val="0"/>
              <w:adjustRightInd/>
              <w:snapToGrid/>
              <w:spacing w:line="240" w:lineRule="auto"/>
              <w:jc w:val="left"/>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3.视频形式，采用实景录制方式，后期剪辑配以声音和字幕  讲解各类轨道线路的类型及基本特点。</w:t>
            </w:r>
          </w:p>
          <w:p>
            <w:pPr>
              <w:keepNext w:val="0"/>
              <w:keepLines w:val="0"/>
              <w:pageBreakBefore w:val="0"/>
              <w:kinsoku/>
              <w:wordWrap/>
              <w:overflowPunct/>
              <w:topLinePunct w:val="0"/>
              <w:autoSpaceDE/>
              <w:autoSpaceDN/>
              <w:bidi w:val="0"/>
              <w:adjustRightInd/>
              <w:snapToGrid/>
              <w:spacing w:line="240" w:lineRule="auto"/>
              <w:jc w:val="left"/>
              <w:outlineLvl w:val="9"/>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4.Flash图文动画的形式，用生动形象的图文动画，配以配音解说讲解了车站的类型，地上站、地下站、高架站三种类型及各个类型的特点等内容。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651"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color w:val="000000" w:themeColor="text1"/>
                <w:kern w:val="0"/>
                <w:sz w:val="21"/>
                <w:szCs w:val="21"/>
                <w14:textFill>
                  <w14:solidFill>
                    <w14:schemeClr w14:val="tx1"/>
                  </w14:solidFill>
                </w14:textFill>
              </w:rPr>
            </w:pPr>
            <w:r>
              <w:rPr>
                <w:rFonts w:hint="eastAsia" w:ascii="宋体" w:hAnsi="宋体" w:eastAsia="宋体" w:cs="宋体"/>
                <w:b w:val="0"/>
                <w:bCs/>
                <w:color w:val="000000" w:themeColor="text1"/>
                <w:kern w:val="0"/>
                <w:sz w:val="21"/>
                <w:szCs w:val="21"/>
                <w14:textFill>
                  <w14:solidFill>
                    <w14:schemeClr w14:val="tx1"/>
                  </w14:solidFill>
                </w14:textFill>
              </w:rPr>
              <w:t>动画</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b/>
                <w:color w:val="000000" w:themeColor="text1"/>
                <w:sz w:val="21"/>
                <w:szCs w:val="21"/>
                <w14:textFill>
                  <w14:solidFill>
                    <w14:schemeClr w14:val="tx1"/>
                  </w14:solidFill>
                </w14:textFill>
              </w:rPr>
            </w:pPr>
            <w:r>
              <w:rPr>
                <w:rStyle w:val="29"/>
                <w:rFonts w:hint="eastAsia" w:ascii="宋体" w:hAnsi="宋体" w:eastAsia="宋体" w:cs="宋体"/>
                <w:b/>
                <w:color w:val="000000" w:themeColor="text1"/>
                <w:sz w:val="21"/>
                <w:szCs w:val="21"/>
                <w14:textFill>
                  <w14:solidFill>
                    <w14:schemeClr w14:val="tx1"/>
                  </w14:solidFill>
                </w14:textFill>
              </w:rPr>
              <w:t>1</w:t>
            </w:r>
          </w:p>
        </w:tc>
        <w:tc>
          <w:tcPr>
            <w:tcW w:w="4630"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211" w:firstLineChars="100"/>
              <w:jc w:val="left"/>
              <w:textAlignment w:val="center"/>
              <w:outlineLvl w:val="9"/>
              <w:rPr>
                <w:rFonts w:hint="eastAsia" w:ascii="宋体" w:hAnsi="宋体" w:eastAsia="宋体" w:cs="宋体"/>
                <w:b/>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610"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分析车站组成</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val="0"/>
                <w:bCs/>
                <w:color w:val="000000" w:themeColor="text1"/>
                <w:kern w:val="0"/>
                <w:sz w:val="21"/>
                <w:szCs w:val="21"/>
                <w14:textFill>
                  <w14:solidFill>
                    <w14:schemeClr w14:val="tx1"/>
                  </w14:solidFill>
                </w14:textFill>
              </w:rPr>
            </w:pPr>
            <w:r>
              <w:rPr>
                <w:rFonts w:hint="eastAsia" w:ascii="宋体" w:hAnsi="宋体" w:eastAsia="宋体" w:cs="宋体"/>
                <w:b w:val="0"/>
                <w:bCs/>
                <w:color w:val="000000" w:themeColor="text1"/>
                <w:kern w:val="0"/>
                <w:sz w:val="21"/>
                <w:szCs w:val="21"/>
                <w14:textFill>
                  <w14:solidFill>
                    <w14:schemeClr w14:val="tx1"/>
                  </w14:solidFill>
                </w14:textFill>
              </w:rPr>
              <w:t>动画</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1.车站组成模块资源采用三维动画形式介绍和讲解车站的组成及各组成部分的基本构成等内容，让学生对车站结构有系统的了解。</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车站结构等。</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3.三维动画形式，采用真实的场景为素材，三维建模还原真实的车站结构，介绍和讲解车站组成、车站主体结构、出入口及通道、通风道、风亭等内容。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★要求现场演示车站结构的介绍的三维动画和讲解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63"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认知车站乘客导向标识</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微课或</w:t>
            </w:r>
            <w:r>
              <w:rPr>
                <w:rFonts w:hint="eastAsia" w:ascii="宋体" w:hAnsi="宋体" w:eastAsia="宋体" w:cs="宋体"/>
                <w:b/>
                <w:color w:val="000000" w:themeColor="text1"/>
                <w:kern w:val="0"/>
                <w:sz w:val="21"/>
                <w:szCs w:val="21"/>
                <w14:textFill>
                  <w14:solidFill>
                    <w14:schemeClr w14:val="tx1"/>
                  </w14:solidFill>
                </w14:textFill>
              </w:rPr>
              <w:t>动画</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2</w:t>
            </w:r>
          </w:p>
        </w:tc>
        <w:tc>
          <w:tcPr>
            <w:tcW w:w="4630" w:type="dxa"/>
            <w:vAlign w:val="center"/>
          </w:tcPr>
          <w:p>
            <w:pPr>
              <w:keepNext w:val="0"/>
              <w:keepLines w:val="0"/>
              <w:pageBreakBefore w:val="0"/>
              <w:kinsoku/>
              <w:wordWrap/>
              <w:overflowPunct/>
              <w:topLinePunct w:val="0"/>
              <w:autoSpaceDE/>
              <w:autoSpaceDN/>
              <w:bidi w:val="0"/>
              <w:adjustRightInd/>
              <w:snapToGrid/>
              <w:spacing w:line="240" w:lineRule="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1.车站乘客导向标识模块资源采用Flash情景动画形式介绍和讲解</w:t>
            </w:r>
            <w:r>
              <w:rPr>
                <w:rFonts w:hint="eastAsia" w:ascii="宋体" w:hAnsi="宋体" w:eastAsia="宋体" w:cs="宋体"/>
                <w:color w:val="000000" w:themeColor="text1"/>
                <w:kern w:val="0"/>
                <w:sz w:val="21"/>
                <w:szCs w:val="21"/>
                <w14:textFill>
                  <w14:solidFill>
                    <w14:schemeClr w14:val="tx1"/>
                  </w14:solidFill>
                </w14:textFill>
              </w:rPr>
              <w:t>车站内外的导向标识和车站各类警示标识</w:t>
            </w:r>
            <w:r>
              <w:rPr>
                <w:rFonts w:hint="eastAsia" w:ascii="宋体" w:hAnsi="宋体" w:eastAsia="宋体" w:cs="宋体"/>
                <w:color w:val="000000" w:themeColor="text1"/>
                <w:sz w:val="21"/>
                <w:szCs w:val="21"/>
                <w14:textFill>
                  <w14:solidFill>
                    <w14:schemeClr w14:val="tx1"/>
                  </w14:solidFill>
                </w14:textFill>
              </w:rPr>
              <w:t>等内容，让学生对各类导向标识和警示标识有全面的了解。</w:t>
            </w:r>
          </w:p>
          <w:p>
            <w:pPr>
              <w:keepNext w:val="0"/>
              <w:keepLines w:val="0"/>
              <w:pageBreakBefore w:val="0"/>
              <w:kinsoku/>
              <w:wordWrap/>
              <w:overflowPunct/>
              <w:topLinePunct w:val="0"/>
              <w:autoSpaceDE/>
              <w:autoSpaceDN/>
              <w:bidi w:val="0"/>
              <w:adjustRightInd/>
              <w:snapToGrid/>
              <w:spacing w:line="240" w:lineRule="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车站内外的导向标识及特点、规范；</w:t>
            </w:r>
          </w:p>
          <w:p>
            <w:pPr>
              <w:keepNext w:val="0"/>
              <w:keepLines w:val="0"/>
              <w:pageBreakBefore w:val="0"/>
              <w:kinsoku/>
              <w:wordWrap/>
              <w:overflowPunct/>
              <w:topLinePunct w:val="0"/>
              <w:autoSpaceDE/>
              <w:autoSpaceDN/>
              <w:bidi w:val="0"/>
              <w:adjustRightInd/>
              <w:snapToGrid/>
              <w:spacing w:line="240" w:lineRule="auto"/>
              <w:ind w:firstLine="105" w:firstLineChars="50"/>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车站各类警示标识、标志及含义</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 Flash情景动画的形式，用生动形象的动画人物和逼真的矢量场景来讲解</w:t>
            </w:r>
            <w:r>
              <w:rPr>
                <w:rFonts w:hint="eastAsia" w:ascii="宋体" w:hAnsi="宋体" w:eastAsia="宋体" w:cs="宋体"/>
                <w:color w:val="000000" w:themeColor="text1"/>
                <w:kern w:val="0"/>
                <w:sz w:val="21"/>
                <w:szCs w:val="21"/>
                <w14:textFill>
                  <w14:solidFill>
                    <w14:schemeClr w14:val="tx1"/>
                  </w14:solidFill>
                </w14:textFill>
              </w:rPr>
              <w:t>车站内外的导向标识的种类及特点、规范；车站各类警示标识的类型、标志及含义</w:t>
            </w:r>
            <w:r>
              <w:rPr>
                <w:rFonts w:hint="eastAsia" w:ascii="宋体" w:hAnsi="宋体" w:eastAsia="宋体" w:cs="宋体"/>
                <w:color w:val="000000" w:themeColor="text1"/>
                <w:sz w:val="21"/>
                <w:szCs w:val="21"/>
                <w14:textFill>
                  <w14:solidFill>
                    <w14:schemeClr w14:val="tx1"/>
                  </w14:solidFill>
                </w14:textFill>
              </w:rPr>
              <w:t>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3"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城轨车站设备管理</w:t>
            </w:r>
          </w:p>
        </w:tc>
        <w:tc>
          <w:tcPr>
            <w:tcW w:w="1024"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运用车站机电设备</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微课视频</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1.车站机电设备模块资源采用视频、Flash情景动画形式介绍和讲解</w:t>
            </w:r>
            <w:r>
              <w:rPr>
                <w:rFonts w:hint="eastAsia" w:ascii="宋体" w:hAnsi="宋体" w:eastAsia="宋体" w:cs="宋体"/>
                <w:color w:val="000000" w:themeColor="text1"/>
                <w:kern w:val="0"/>
                <w:sz w:val="21"/>
                <w:szCs w:val="21"/>
                <w14:textFill>
                  <w14:solidFill>
                    <w14:schemeClr w14:val="tx1"/>
                  </w14:solidFill>
                </w14:textFill>
              </w:rPr>
              <w:t>车站监控系统及站台门</w:t>
            </w:r>
            <w:r>
              <w:rPr>
                <w:rFonts w:hint="eastAsia" w:ascii="宋体" w:hAnsi="宋体" w:eastAsia="宋体" w:cs="宋体"/>
                <w:color w:val="000000" w:themeColor="text1"/>
                <w:sz w:val="21"/>
                <w:szCs w:val="21"/>
                <w14:textFill>
                  <w14:solidFill>
                    <w14:schemeClr w14:val="tx1"/>
                  </w14:solidFill>
                </w14:textFill>
              </w:rPr>
              <w:t>等内容，让学生对车站几点设备有全面的了解。</w:t>
            </w:r>
          </w:p>
          <w:p>
            <w:pPr>
              <w:keepNext w:val="0"/>
              <w:keepLines w:val="0"/>
              <w:pageBreakBefore w:val="0"/>
              <w:kinsoku/>
              <w:wordWrap/>
              <w:overflowPunct/>
              <w:topLinePunct w:val="0"/>
              <w:autoSpaceDE/>
              <w:autoSpaceDN/>
              <w:bidi w:val="0"/>
              <w:adjustRightInd/>
              <w:snapToGrid/>
              <w:spacing w:line="240" w:lineRule="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kinsoku/>
              <w:wordWrap/>
              <w:overflowPunct/>
              <w:topLinePunct w:val="0"/>
              <w:autoSpaceDE/>
              <w:autoSpaceDN/>
              <w:bidi w:val="0"/>
              <w:adjustRightInd/>
              <w:snapToGrid/>
              <w:spacing w:line="240" w:lineRule="auto"/>
              <w:ind w:firstLine="105" w:firstLineChars="50"/>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车站级监控系统的简介</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站台门的简介及控制</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 视频形式，采用实景录制方式，后期剪辑配以声音和字幕讲解车站监控系统的组成及作用。</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4.Flash情景动画的形式，用生动形象的动画人物和逼真的矢量场景来讲解站台门的分类、系统组成、控制模式及日常操作方法等内容。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★要求现场演示地铁公司真实现场拍摄的车站BAS系统的操作介绍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03"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2</w:t>
            </w:r>
          </w:p>
        </w:tc>
        <w:tc>
          <w:tcPr>
            <w:tcW w:w="4630"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210" w:firstLineChars="100"/>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22"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运用线路设备</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b/>
                <w:color w:val="000000" w:themeColor="text1"/>
                <w:sz w:val="21"/>
                <w:szCs w:val="21"/>
                <w14:textFill>
                  <w14:solidFill>
                    <w14:schemeClr w14:val="tx1"/>
                  </w14:solidFill>
                </w14:textFill>
              </w:rPr>
            </w:pPr>
            <w:r>
              <w:rPr>
                <w:rStyle w:val="29"/>
                <w:rFonts w:hint="eastAsia" w:ascii="宋体" w:hAnsi="宋体" w:eastAsia="宋体" w:cs="宋体"/>
                <w:b w:val="0"/>
                <w:bCs/>
                <w:color w:val="000000" w:themeColor="text1"/>
                <w:sz w:val="21"/>
                <w:szCs w:val="21"/>
                <w14:textFill>
                  <w14:solidFill>
                    <w14:schemeClr w14:val="tx1"/>
                  </w14:solidFill>
                </w14:textFill>
              </w:rPr>
              <w:t>2</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1.线路设备模块资源采用三维动画、Flash情景动画形式介绍和讲解</w:t>
            </w:r>
            <w:r>
              <w:rPr>
                <w:rFonts w:hint="eastAsia" w:ascii="宋体" w:hAnsi="宋体" w:eastAsia="宋体" w:cs="宋体"/>
                <w:color w:val="000000" w:themeColor="text1"/>
                <w:kern w:val="0"/>
                <w:sz w:val="21"/>
                <w:szCs w:val="21"/>
                <w14:textFill>
                  <w14:solidFill>
                    <w14:schemeClr w14:val="tx1"/>
                  </w14:solidFill>
                </w14:textFill>
              </w:rPr>
              <w:t>转辙机及道岔</w:t>
            </w:r>
            <w:r>
              <w:rPr>
                <w:rFonts w:hint="eastAsia" w:ascii="宋体" w:hAnsi="宋体" w:eastAsia="宋体" w:cs="宋体"/>
                <w:color w:val="000000" w:themeColor="text1"/>
                <w:sz w:val="21"/>
                <w:szCs w:val="21"/>
                <w14:textFill>
                  <w14:solidFill>
                    <w14:schemeClr w14:val="tx1"/>
                  </w14:solidFill>
                </w14:textFill>
              </w:rPr>
              <w:t>等内容，让学生对线路设备有深入的了解。</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2.资源内容包括：ZD6转辙机</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道岔等2部分组成。</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3.三维动画形式，采用真实的设备为素材，三维建模还原真实的转辙机外观及内部结构，介绍和讲解ZD6转辙机简介及组成结构等内容。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4.Flash情景动画➕三维的形式，用生动形象的动画和逼真的三维场景来讲解道岔的定义及分类、构成、作用等内容。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★要求现场演示道岔动画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63" w:hRule="atLeast"/>
        </w:trPr>
        <w:tc>
          <w:tcPr>
            <w:tcW w:w="7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处理乘客票务事宜</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1.处理乘客票务事宜模块资源采用Flash图文动画形式介绍和讲解</w:t>
            </w:r>
            <w:r>
              <w:rPr>
                <w:rFonts w:hint="eastAsia" w:ascii="宋体" w:hAnsi="宋体" w:eastAsia="宋体" w:cs="宋体"/>
                <w:color w:val="000000" w:themeColor="text1"/>
                <w:kern w:val="0"/>
                <w:sz w:val="21"/>
                <w:szCs w:val="21"/>
                <w14:textFill>
                  <w14:solidFill>
                    <w14:schemeClr w14:val="tx1"/>
                  </w14:solidFill>
                </w14:textFill>
              </w:rPr>
              <w:t>异常票卡的处理</w:t>
            </w:r>
            <w:r>
              <w:rPr>
                <w:rFonts w:hint="eastAsia" w:ascii="宋体" w:hAnsi="宋体" w:eastAsia="宋体" w:cs="宋体"/>
                <w:color w:val="000000" w:themeColor="text1"/>
                <w:sz w:val="21"/>
                <w:szCs w:val="21"/>
                <w14:textFill>
                  <w14:solidFill>
                    <w14:schemeClr w14:val="tx1"/>
                  </w14:solidFill>
                </w14:textFill>
              </w:rPr>
              <w:t>等内容，让学生对</w:t>
            </w:r>
            <w:r>
              <w:rPr>
                <w:rFonts w:hint="eastAsia" w:ascii="宋体" w:hAnsi="宋体" w:eastAsia="宋体" w:cs="宋体"/>
                <w:color w:val="000000" w:themeColor="text1"/>
                <w:kern w:val="0"/>
                <w:sz w:val="21"/>
                <w:szCs w:val="21"/>
                <w14:textFill>
                  <w14:solidFill>
                    <w14:schemeClr w14:val="tx1"/>
                  </w14:solidFill>
                </w14:textFill>
              </w:rPr>
              <w:t>异常票卡的处理流程</w:t>
            </w:r>
            <w:r>
              <w:rPr>
                <w:rFonts w:hint="eastAsia" w:ascii="宋体" w:hAnsi="宋体" w:eastAsia="宋体" w:cs="宋体"/>
                <w:color w:val="000000" w:themeColor="text1"/>
                <w:sz w:val="21"/>
                <w:szCs w:val="21"/>
                <w14:textFill>
                  <w14:solidFill>
                    <w14:schemeClr w14:val="tx1"/>
                  </w14:solidFill>
                </w14:textFill>
              </w:rPr>
              <w:t>有系统的了解。</w:t>
            </w:r>
          </w:p>
          <w:p>
            <w:pPr>
              <w:keepNext w:val="0"/>
              <w:keepLines w:val="0"/>
              <w:pageBreakBefore w:val="0"/>
              <w:kinsoku/>
              <w:wordWrap/>
              <w:overflowPunct/>
              <w:topLinePunct w:val="0"/>
              <w:autoSpaceDE/>
              <w:autoSpaceDN/>
              <w:bidi w:val="0"/>
              <w:adjustRightInd/>
              <w:snapToGrid/>
              <w:spacing w:line="240" w:lineRule="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异常票卡的处理</w:t>
            </w:r>
            <w:r>
              <w:rPr>
                <w:rFonts w:hint="eastAsia" w:ascii="宋体" w:hAnsi="宋体" w:eastAsia="宋体" w:cs="宋体"/>
                <w:color w:val="000000" w:themeColor="text1"/>
                <w:sz w:val="21"/>
                <w:szCs w:val="21"/>
                <w14:textFill>
                  <w14:solidFill>
                    <w14:schemeClr w14:val="tx1"/>
                  </w14:solidFill>
                </w14:textFill>
              </w:rPr>
              <w:t>等1部分组成。</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3.Flash图文动画的形式，用生动形象的图文动画，配以配音解说讲解了单程票无法进站、一卡通无法进站、单程票无法出站、一卡通无法出站、车票丢失等票卡异常内容。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★要求现场演示地铁公司真实现场拍摄的异常票卡处理流程视频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728"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城轨车站客运服务</w:t>
            </w:r>
          </w:p>
        </w:tc>
        <w:tc>
          <w:tcPr>
            <w:tcW w:w="102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客流组织</w:t>
            </w:r>
          </w:p>
        </w:tc>
        <w:tc>
          <w:tcPr>
            <w:tcW w:w="82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val="0"/>
                <w:bCs/>
                <w:color w:val="000000" w:themeColor="text1"/>
                <w:kern w:val="0"/>
                <w:sz w:val="21"/>
                <w:szCs w:val="21"/>
                <w14:textFill>
                  <w14:solidFill>
                    <w14:schemeClr w14:val="tx1"/>
                  </w14:solidFill>
                </w14:textFill>
              </w:rPr>
              <w:t>微课</w:t>
            </w:r>
          </w:p>
        </w:tc>
        <w:tc>
          <w:tcPr>
            <w:tcW w:w="67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b/>
                <w:color w:val="000000" w:themeColor="text1"/>
                <w:sz w:val="21"/>
                <w:szCs w:val="21"/>
                <w14:textFill>
                  <w14:solidFill>
                    <w14:schemeClr w14:val="tx1"/>
                  </w14:solidFill>
                </w14:textFill>
              </w:rPr>
            </w:pPr>
            <w:r>
              <w:rPr>
                <w:rStyle w:val="29"/>
                <w:rFonts w:hint="eastAsia" w:ascii="宋体" w:hAnsi="宋体" w:eastAsia="宋体" w:cs="宋体"/>
                <w:b/>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1.客流组织模块资源采用Flash情景动画形式介绍和讲解地铁突发大客流的组织等内容，让学生对突发事件的处理有系统的了解。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地铁突发大客流的组织等1部分组成。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3.Flash情景动画的形式，用生动形象的动画人物和逼真的矢量场景来讲解诱发大客流原因及危害、突发大客流对车站的影响、大客流运营组织的主要内容、突发大客流运营组织举措等内容。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610"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车站服务技巧</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1.车站服务技巧模块资源采用Flash图文动画形式介绍和讲解地铁</w:t>
            </w:r>
            <w:r>
              <w:rPr>
                <w:rFonts w:hint="eastAsia" w:ascii="宋体" w:hAnsi="宋体" w:eastAsia="宋体" w:cs="宋体"/>
                <w:color w:val="000000" w:themeColor="text1"/>
                <w:kern w:val="0"/>
                <w:sz w:val="21"/>
                <w:szCs w:val="21"/>
                <w14:textFill>
                  <w14:solidFill>
                    <w14:schemeClr w14:val="tx1"/>
                  </w14:solidFill>
                </w14:textFill>
              </w:rPr>
              <w:t>处理乘客投诉技巧</w:t>
            </w:r>
            <w:r>
              <w:rPr>
                <w:rFonts w:hint="eastAsia" w:ascii="宋体" w:hAnsi="宋体" w:eastAsia="宋体" w:cs="宋体"/>
                <w:color w:val="000000" w:themeColor="text1"/>
                <w:sz w:val="21"/>
                <w:szCs w:val="21"/>
                <w14:textFill>
                  <w14:solidFill>
                    <w14:schemeClr w14:val="tx1"/>
                  </w14:solidFill>
                </w14:textFill>
              </w:rPr>
              <w:t>等内容，让学生对处理乘客投诉技巧有系统的了解。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处理乘客投诉</w:t>
            </w:r>
            <w:r>
              <w:rPr>
                <w:rFonts w:hint="eastAsia" w:ascii="宋体" w:hAnsi="宋体" w:eastAsia="宋体" w:cs="宋体"/>
                <w:color w:val="000000" w:themeColor="text1"/>
                <w:sz w:val="21"/>
                <w:szCs w:val="21"/>
                <w14:textFill>
                  <w14:solidFill>
                    <w14:schemeClr w14:val="tx1"/>
                  </w14:solidFill>
                </w14:textFill>
              </w:rPr>
              <w:t>等1部分组成。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3.Flash图文动画的形式，用生动形象的图文动画，配以配音解说讲解了处理投诉的技巧——用心倾听、了解乘客的心理期望、真诚道歉、协商解决、快速采取措施、感谢乘客等内容。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434" w:hRule="atLeast"/>
        </w:trPr>
        <w:tc>
          <w:tcPr>
            <w:tcW w:w="714"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城市轨道交通车辆运用</w:t>
            </w:r>
          </w:p>
        </w:tc>
        <w:tc>
          <w:tcPr>
            <w:tcW w:w="117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城轨车站行车组织</w:t>
            </w: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认知车站行车组织</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1.车站行车组织模块资源采用Flash情景动画形式介绍和讲解地铁</w:t>
            </w:r>
            <w:r>
              <w:rPr>
                <w:rFonts w:hint="eastAsia" w:ascii="宋体" w:hAnsi="宋体" w:eastAsia="宋体" w:cs="宋体"/>
                <w:color w:val="000000" w:themeColor="text1"/>
                <w:kern w:val="0"/>
                <w:sz w:val="21"/>
                <w:szCs w:val="21"/>
                <w14:textFill>
                  <w14:solidFill>
                    <w14:schemeClr w14:val="tx1"/>
                  </w14:solidFill>
                </w14:textFill>
              </w:rPr>
              <w:t>列车运行规则与编制</w:t>
            </w:r>
            <w:r>
              <w:rPr>
                <w:rFonts w:hint="eastAsia" w:ascii="宋体" w:hAnsi="宋体" w:eastAsia="宋体" w:cs="宋体"/>
                <w:color w:val="000000" w:themeColor="text1"/>
                <w:sz w:val="21"/>
                <w:szCs w:val="21"/>
                <w14:textFill>
                  <w14:solidFill>
                    <w14:schemeClr w14:val="tx1"/>
                  </w14:solidFill>
                </w14:textFill>
              </w:rPr>
              <w:t>等内容，让学生对地铁</w:t>
            </w:r>
            <w:r>
              <w:rPr>
                <w:rFonts w:hint="eastAsia" w:ascii="宋体" w:hAnsi="宋体" w:eastAsia="宋体" w:cs="宋体"/>
                <w:color w:val="000000" w:themeColor="text1"/>
                <w:kern w:val="0"/>
                <w:sz w:val="21"/>
                <w:szCs w:val="21"/>
                <w14:textFill>
                  <w14:solidFill>
                    <w14:schemeClr w14:val="tx1"/>
                  </w14:solidFill>
                </w14:textFill>
              </w:rPr>
              <w:t>列车运行规则</w:t>
            </w:r>
            <w:r>
              <w:rPr>
                <w:rFonts w:hint="eastAsia" w:ascii="宋体" w:hAnsi="宋体" w:eastAsia="宋体" w:cs="宋体"/>
                <w:color w:val="000000" w:themeColor="text1"/>
                <w:sz w:val="21"/>
                <w:szCs w:val="21"/>
                <w14:textFill>
                  <w14:solidFill>
                    <w14:schemeClr w14:val="tx1"/>
                  </w14:solidFill>
                </w14:textFill>
              </w:rPr>
              <w:t>有深入的了解。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地铁列车运行图（规则与编制）</w:t>
            </w:r>
            <w:r>
              <w:rPr>
                <w:rFonts w:hint="eastAsia" w:ascii="宋体" w:hAnsi="宋体" w:eastAsia="宋体" w:cs="宋体"/>
                <w:color w:val="000000" w:themeColor="text1"/>
                <w:sz w:val="21"/>
                <w:szCs w:val="21"/>
                <w14:textFill>
                  <w14:solidFill>
                    <w14:schemeClr w14:val="tx1"/>
                  </w14:solidFill>
                </w14:textFill>
              </w:rPr>
              <w:t>等1部分组成。</w:t>
            </w:r>
          </w:p>
          <w:p>
            <w:pPr>
              <w:keepNext w:val="0"/>
              <w:keepLines w:val="0"/>
              <w:pageBreakBefore w:val="0"/>
              <w:kinsoku/>
              <w:wordWrap/>
              <w:overflowPunct/>
              <w:topLinePunct w:val="0"/>
              <w:autoSpaceDE/>
              <w:autoSpaceDN/>
              <w:bidi w:val="0"/>
              <w:adjustRightInd/>
              <w:snapToGrid/>
              <w:spacing w:line="240" w:lineRule="auto"/>
              <w:jc w:val="left"/>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3.Flash图文动画的形式，用生动形象的图文动画，配以配音解说讲解了运行图的概念、意义、表示方法及分类等内容。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52"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正常情况下的行车组织</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1</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1.正常情况下的行车组织模块资源采用Flash情景动画形式介绍和讲解</w:t>
            </w:r>
            <w:r>
              <w:rPr>
                <w:rFonts w:hint="eastAsia" w:ascii="宋体" w:hAnsi="宋体" w:eastAsia="宋体" w:cs="宋体"/>
                <w:color w:val="000000" w:themeColor="text1"/>
                <w:kern w:val="0"/>
                <w:sz w:val="21"/>
                <w:szCs w:val="21"/>
                <w14:textFill>
                  <w14:solidFill>
                    <w14:schemeClr w14:val="tx1"/>
                  </w14:solidFill>
                </w14:textFill>
              </w:rPr>
              <w:t>站务员站台接发车作业</w:t>
            </w:r>
            <w:r>
              <w:rPr>
                <w:rFonts w:hint="eastAsia" w:ascii="宋体" w:hAnsi="宋体" w:eastAsia="宋体" w:cs="宋体"/>
                <w:color w:val="000000" w:themeColor="text1"/>
                <w:sz w:val="21"/>
                <w:szCs w:val="21"/>
                <w14:textFill>
                  <w14:solidFill>
                    <w14:schemeClr w14:val="tx1"/>
                  </w14:solidFill>
                </w14:textFill>
              </w:rPr>
              <w:t>等内容，让学生对</w:t>
            </w:r>
            <w:r>
              <w:rPr>
                <w:rFonts w:hint="eastAsia" w:ascii="宋体" w:hAnsi="宋体" w:eastAsia="宋体" w:cs="宋体"/>
                <w:color w:val="000000" w:themeColor="text1"/>
                <w:kern w:val="0"/>
                <w:sz w:val="21"/>
                <w:szCs w:val="21"/>
                <w14:textFill>
                  <w14:solidFill>
                    <w14:schemeClr w14:val="tx1"/>
                  </w14:solidFill>
                </w14:textFill>
              </w:rPr>
              <w:t>站务员站台接发车作业</w:t>
            </w:r>
            <w:r>
              <w:rPr>
                <w:rFonts w:hint="eastAsia" w:ascii="宋体" w:hAnsi="宋体" w:eastAsia="宋体" w:cs="宋体"/>
                <w:color w:val="000000" w:themeColor="text1"/>
                <w:sz w:val="21"/>
                <w:szCs w:val="21"/>
                <w14:textFill>
                  <w14:solidFill>
                    <w14:schemeClr w14:val="tx1"/>
                  </w14:solidFill>
                </w14:textFill>
              </w:rPr>
              <w:t>有系统的了解。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站务员站台接发车作业</w:t>
            </w:r>
            <w:r>
              <w:rPr>
                <w:rFonts w:hint="eastAsia" w:ascii="宋体" w:hAnsi="宋体" w:eastAsia="宋体" w:cs="宋体"/>
                <w:color w:val="000000" w:themeColor="text1"/>
                <w:sz w:val="21"/>
                <w:szCs w:val="21"/>
                <w14:textFill>
                  <w14:solidFill>
                    <w14:schemeClr w14:val="tx1"/>
                  </w14:solidFill>
                </w14:textFill>
              </w:rPr>
              <w:t>等组成。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3.Flash情景动画的形式，用生动形象的动画人物和逼真的矢量场景来讲解站务员站台的作业流程和作业标准等内容。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63"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非正常情况下的行车组织</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2</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1.非正常情况下的行车组织模块资源采用Flash情景动画形式介绍和讲解</w:t>
            </w:r>
            <w:r>
              <w:rPr>
                <w:rFonts w:hint="eastAsia" w:ascii="宋体" w:hAnsi="宋体" w:eastAsia="宋体" w:cs="宋体"/>
                <w:color w:val="000000" w:themeColor="text1"/>
                <w:kern w:val="0"/>
                <w:sz w:val="21"/>
                <w:szCs w:val="21"/>
                <w14:textFill>
                  <w14:solidFill>
                    <w14:schemeClr w14:val="tx1"/>
                  </w14:solidFill>
                </w14:textFill>
              </w:rPr>
              <w:t>人工排列进路、电话联系接发列车作业标准</w:t>
            </w:r>
            <w:r>
              <w:rPr>
                <w:rFonts w:hint="eastAsia" w:ascii="宋体" w:hAnsi="宋体" w:eastAsia="宋体" w:cs="宋体"/>
                <w:color w:val="000000" w:themeColor="text1"/>
                <w:sz w:val="21"/>
                <w:szCs w:val="21"/>
                <w14:textFill>
                  <w14:solidFill>
                    <w14:schemeClr w14:val="tx1"/>
                  </w14:solidFill>
                </w14:textFill>
              </w:rPr>
              <w:t>等内容，让学生对非正常情况下的行车组织有深入的了解。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人工排列进路作业程序简介</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电话闭塞法作业标准</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3.Flash情景动画的形式，用生动形象的动画人物和逼真的矢量场景来讲解人工排列进路、电话联系接发列车作业简介、标准流程及操作方法等内容。</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★要求现场演示电话闭塞行车法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610"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Style w:val="31"/>
                <w:rFonts w:hint="eastAsia" w:ascii="宋体" w:hAnsi="宋体" w:eastAsia="宋体" w:cs="宋体"/>
                <w:color w:val="000000" w:themeColor="text1"/>
                <w:sz w:val="21"/>
                <w:szCs w:val="21"/>
                <w14:textFill>
                  <w14:solidFill>
                    <w14:schemeClr w14:val="tx1"/>
                  </w14:solidFill>
                </w14:textFill>
              </w:rPr>
              <w:t>城市轨道交通列车司机的乘务作业</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列车司机段场整备检查作业的操作</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2</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kern w:val="0"/>
                <w:sz w:val="21"/>
                <w:szCs w:val="21"/>
                <w14:textFill>
                  <w14:solidFill>
                    <w14:schemeClr w14:val="tx1"/>
                  </w14:solidFill>
                </w14:textFill>
              </w:rPr>
              <w:t>列车司机段场整备检查作业操作</w:t>
            </w:r>
            <w:r>
              <w:rPr>
                <w:rFonts w:hint="eastAsia" w:ascii="宋体" w:hAnsi="宋体" w:eastAsia="宋体" w:cs="宋体"/>
                <w:color w:val="000000" w:themeColor="text1"/>
                <w:sz w:val="21"/>
                <w:szCs w:val="21"/>
                <w14:textFill>
                  <w14:solidFill>
                    <w14:schemeClr w14:val="tx1"/>
                  </w14:solidFill>
                </w14:textFill>
              </w:rPr>
              <w:t>模块资源采用Flash情景动画形式介绍和讲解</w:t>
            </w:r>
            <w:r>
              <w:rPr>
                <w:rFonts w:hint="eastAsia" w:ascii="宋体" w:hAnsi="宋体" w:eastAsia="宋体" w:cs="宋体"/>
                <w:color w:val="000000" w:themeColor="text1"/>
                <w:kern w:val="0"/>
                <w:sz w:val="21"/>
                <w:szCs w:val="21"/>
                <w14:textFill>
                  <w14:solidFill>
                    <w14:schemeClr w14:val="tx1"/>
                  </w14:solidFill>
                </w14:textFill>
              </w:rPr>
              <w:t>列车整备作业、列车出入库的操作</w:t>
            </w:r>
            <w:r>
              <w:rPr>
                <w:rFonts w:hint="eastAsia" w:ascii="宋体" w:hAnsi="宋体" w:eastAsia="宋体" w:cs="宋体"/>
                <w:color w:val="000000" w:themeColor="text1"/>
                <w:sz w:val="21"/>
                <w:szCs w:val="21"/>
                <w14:textFill>
                  <w14:solidFill>
                    <w14:schemeClr w14:val="tx1"/>
                  </w14:solidFill>
                </w14:textFill>
              </w:rPr>
              <w:t>等内容，让学生对</w:t>
            </w:r>
            <w:r>
              <w:rPr>
                <w:rFonts w:hint="eastAsia" w:ascii="宋体" w:hAnsi="宋体" w:eastAsia="宋体" w:cs="宋体"/>
                <w:color w:val="000000" w:themeColor="text1"/>
                <w:kern w:val="0"/>
                <w:sz w:val="21"/>
                <w:szCs w:val="21"/>
                <w14:textFill>
                  <w14:solidFill>
                    <w14:schemeClr w14:val="tx1"/>
                  </w14:solidFill>
                </w14:textFill>
              </w:rPr>
              <w:t>司机段场整备检查作业</w:t>
            </w:r>
            <w:r>
              <w:rPr>
                <w:rFonts w:hint="eastAsia" w:ascii="宋体" w:hAnsi="宋体" w:eastAsia="宋体" w:cs="宋体"/>
                <w:color w:val="000000" w:themeColor="text1"/>
                <w:sz w:val="21"/>
                <w:szCs w:val="21"/>
                <w14:textFill>
                  <w14:solidFill>
                    <w14:schemeClr w14:val="tx1"/>
                  </w14:solidFill>
                </w14:textFill>
              </w:rPr>
              <w:t>有深入的了解。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r>
              <w:rPr>
                <w:rFonts w:hint="eastAsia" w:ascii="宋体" w:hAnsi="宋体" w:eastAsia="宋体" w:cs="宋体"/>
                <w:color w:val="000000" w:themeColor="text1"/>
                <w:kern w:val="0"/>
                <w:sz w:val="21"/>
                <w:szCs w:val="21"/>
                <w14:textFill>
                  <w14:solidFill>
                    <w14:schemeClr w14:val="tx1"/>
                  </w14:solidFill>
                </w14:textFill>
              </w:rPr>
              <w:t>列车整备作业</w:t>
            </w:r>
            <w:r>
              <w:rPr>
                <w:rFonts w:hint="eastAsia" w:ascii="宋体" w:hAnsi="宋体" w:cs="宋体"/>
                <w:color w:val="000000" w:themeColor="text1"/>
                <w:kern w:val="0"/>
                <w:sz w:val="21"/>
                <w:szCs w:val="21"/>
                <w:lang w:eastAsia="zh-CN"/>
                <w14:textFill>
                  <w14:solidFill>
                    <w14:schemeClr w14:val="tx1"/>
                  </w14:solidFill>
                </w14:textFill>
              </w:rPr>
              <w:t>、</w:t>
            </w:r>
            <w:r>
              <w:rPr>
                <w:rFonts w:hint="eastAsia" w:ascii="宋体" w:hAnsi="宋体" w:eastAsia="宋体" w:cs="宋体"/>
                <w:color w:val="000000" w:themeColor="text1"/>
                <w:kern w:val="0"/>
                <w:sz w:val="21"/>
                <w:szCs w:val="21"/>
                <w14:textFill>
                  <w14:solidFill>
                    <w14:schemeClr w14:val="tx1"/>
                  </w14:solidFill>
                </w14:textFill>
              </w:rPr>
              <w:t>列车出入库的操作</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情景动画的形式，用生动形象的动画人物和逼真的矢量场景来讲解列车车身整备检查作业含流程、方法、及检查部件主要功能说明；列车驾驶室内部设备检查、外部设备检查、静态及动态调试、列车出入库的操作方法及要点等内容。</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★要求现场演示地铁公司真实现场的列车整备作业流程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969" w:hRule="atLeast"/>
        </w:trPr>
        <w:tc>
          <w:tcPr>
            <w:tcW w:w="7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p>
        </w:tc>
        <w:tc>
          <w:tcPr>
            <w:tcW w:w="117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p>
        </w:tc>
        <w:tc>
          <w:tcPr>
            <w:tcW w:w="102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zh-CN"/>
                <w14:textFill>
                  <w14:solidFill>
                    <w14:schemeClr w14:val="tx1"/>
                  </w14:solidFill>
                </w14:textFill>
              </w:rPr>
              <w:t>城市轨道交通列车的操纵</w:t>
            </w:r>
          </w:p>
        </w:tc>
        <w:tc>
          <w:tcPr>
            <w:tcW w:w="8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动画或微课</w:t>
            </w:r>
          </w:p>
        </w:tc>
        <w:tc>
          <w:tcPr>
            <w:tcW w:w="67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outlineLvl w:val="9"/>
              <w:rPr>
                <w:rStyle w:val="29"/>
                <w:rFonts w:hint="eastAsia" w:ascii="宋体" w:hAnsi="宋体" w:eastAsia="宋体" w:cs="宋体"/>
                <w:color w:val="000000" w:themeColor="text1"/>
                <w:sz w:val="21"/>
                <w:szCs w:val="21"/>
                <w14:textFill>
                  <w14:solidFill>
                    <w14:schemeClr w14:val="tx1"/>
                  </w14:solidFill>
                </w14:textFill>
              </w:rPr>
            </w:pPr>
            <w:r>
              <w:rPr>
                <w:rStyle w:val="29"/>
                <w:rFonts w:hint="eastAsia" w:ascii="宋体" w:hAnsi="宋体" w:eastAsia="宋体" w:cs="宋体"/>
                <w:color w:val="000000" w:themeColor="text1"/>
                <w:sz w:val="21"/>
                <w:szCs w:val="21"/>
                <w14:textFill>
                  <w14:solidFill>
                    <w14:schemeClr w14:val="tx1"/>
                  </w14:solidFill>
                </w14:textFill>
              </w:rPr>
              <w:t>2</w:t>
            </w:r>
          </w:p>
        </w:tc>
        <w:tc>
          <w:tcPr>
            <w:tcW w:w="4630" w:type="dxa"/>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1.城市轨道交通列车的操纵模块资源采用Flash情景动画形式介绍和讲解列车司机正线作业流程、</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列车的折返作业等内容，让学生对城市轨道交通列车的操纵</w:t>
            </w:r>
            <w:r>
              <w:rPr>
                <w:rFonts w:hint="eastAsia" w:ascii="宋体" w:hAnsi="宋体" w:eastAsia="宋体" w:cs="宋体"/>
                <w:color w:val="000000" w:themeColor="text1"/>
                <w:sz w:val="21"/>
                <w:szCs w:val="21"/>
                <w14:textFill>
                  <w14:solidFill>
                    <w14:schemeClr w14:val="tx1"/>
                  </w14:solidFill>
                </w14:textFill>
              </w:rPr>
              <w:t>有深入的了解。</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2.资源内容包括：</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列车司机正线作业流程</w:t>
            </w:r>
          </w:p>
          <w:p>
            <w:pPr>
              <w:keepNext w:val="0"/>
              <w:keepLines w:val="0"/>
              <w:pageBreakBefore w:val="0"/>
              <w:widowControl/>
              <w:kinsoku/>
              <w:wordWrap/>
              <w:overflowPunct/>
              <w:topLinePunct w:val="0"/>
              <w:autoSpaceDE/>
              <w:autoSpaceDN/>
              <w:bidi w:val="0"/>
              <w:adjustRightInd/>
              <w:snapToGrid/>
              <w:spacing w:line="240" w:lineRule="auto"/>
              <w:ind w:firstLine="105" w:firstLineChars="50"/>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列车的折返作业</w:t>
            </w:r>
            <w:r>
              <w:rPr>
                <w:rFonts w:hint="eastAsia" w:ascii="宋体" w:hAnsi="宋体" w:eastAsia="宋体" w:cs="宋体"/>
                <w:color w:val="000000" w:themeColor="text1"/>
                <w:sz w:val="21"/>
                <w:szCs w:val="21"/>
                <w14:textFill>
                  <w14:solidFill>
                    <w14:schemeClr w14:val="tx1"/>
                  </w14:solidFill>
                </w14:textFill>
              </w:rPr>
              <w:t>等2部分组成。</w:t>
            </w:r>
          </w:p>
          <w:p>
            <w:pPr>
              <w:keepNext w:val="0"/>
              <w:keepLines w:val="0"/>
              <w:pageBreakBefore w:val="0"/>
              <w:widowControl/>
              <w:kinsoku/>
              <w:wordWrap/>
              <w:overflowPunct/>
              <w:topLinePunct w:val="0"/>
              <w:autoSpaceDE/>
              <w:autoSpaceDN/>
              <w:bidi w:val="0"/>
              <w:adjustRightInd/>
              <w:snapToGrid/>
              <w:spacing w:line="240" w:lineRule="auto"/>
              <w:jc w:val="left"/>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3.Flash情景动画的形式，用生动形象的动画人物和逼真的矢量场景来讲解列车司机出站作业程序、区间作业程序、进站作业程序、列车进入折返线程序、驶出折返线程序等内容。</w:t>
            </w:r>
          </w:p>
        </w:tc>
      </w:tr>
    </w:tbl>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备注：以上所有资源均需提供课程截图，每个课程不少于2张</w:t>
      </w:r>
    </w:p>
    <w:p>
      <w:pPr>
        <w:keepNext w:val="0"/>
        <w:keepLines w:val="0"/>
        <w:pageBreakBefore w:val="0"/>
        <w:widowControl/>
        <w:kinsoku/>
        <w:wordWrap/>
        <w:overflowPunct/>
        <w:topLinePunct w:val="0"/>
        <w:autoSpaceDE/>
        <w:autoSpaceDN/>
        <w:bidi w:val="0"/>
        <w:adjustRightInd/>
        <w:snapToGrid/>
        <w:spacing w:line="240" w:lineRule="auto"/>
        <w:ind w:firstLine="210" w:firstLineChars="100"/>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以上采购内容中除视频外交付周期为签订合同后的15个日历日，均执行附件1标准</w:t>
      </w:r>
    </w:p>
    <w:p>
      <w:pPr>
        <w:tabs>
          <w:tab w:val="left" w:pos="210"/>
        </w:tabs>
        <w:autoSpaceDE w:val="0"/>
        <w:autoSpaceDN w:val="0"/>
        <w:adjustRightInd w:val="0"/>
        <w:spacing w:line="360" w:lineRule="auto"/>
        <w:ind w:firstLine="480"/>
        <w:rPr>
          <w:b/>
        </w:rPr>
      </w:pPr>
      <w:r>
        <w:rPr>
          <w:rFonts w:hint="eastAsia"/>
          <w:b/>
        </w:rPr>
        <w:t>附件1-</w:t>
      </w:r>
      <w:r>
        <w:rPr>
          <w:rFonts w:hint="eastAsia" w:ascii="华文宋体" w:hAnsi="华文宋体" w:eastAsia="华文宋体"/>
          <w:b/>
          <w:szCs w:val="21"/>
        </w:rPr>
        <w:t>《</w:t>
      </w:r>
      <w:r>
        <w:rPr>
          <w:rFonts w:hint="eastAsia" w:ascii="华文宋体" w:hAnsi="华文宋体" w:eastAsia="华文宋体" w:cs="Tahoma"/>
          <w:b/>
          <w:szCs w:val="21"/>
        </w:rPr>
        <w:t>轨道交通课程资源建设标准</w:t>
      </w:r>
      <w:r>
        <w:rPr>
          <w:rFonts w:hint="eastAsia" w:ascii="华文宋体" w:hAnsi="华文宋体" w:eastAsia="华文宋体"/>
          <w:b/>
          <w:szCs w:val="21"/>
        </w:rPr>
        <w:t>》</w:t>
      </w:r>
      <w:r>
        <w:rPr>
          <w:rFonts w:hint="eastAsia"/>
          <w:b/>
        </w:rPr>
        <w:t>：</w:t>
      </w:r>
    </w:p>
    <w:p>
      <w:pPr>
        <w:spacing w:line="360" w:lineRule="auto"/>
        <w:ind w:firstLine="560" w:firstLineChars="200"/>
      </w:pPr>
      <w:r>
        <w:rPr>
          <w:rFonts w:hint="eastAsia"/>
        </w:rPr>
        <w:t>素材资源类型包括文本素材、图片素材、音频素材、视频素材、动画素材、</w:t>
      </w:r>
      <w:r>
        <w:t>PPT演示文稿</w:t>
      </w:r>
      <w:r>
        <w:rPr>
          <w:rFonts w:hint="eastAsia"/>
        </w:rPr>
        <w:t>素材</w:t>
      </w:r>
      <w:r>
        <w:t>、虚拟仿真</w:t>
      </w:r>
      <w:r>
        <w:rPr>
          <w:rFonts w:hint="eastAsia"/>
        </w:rPr>
        <w:t>素材</w:t>
      </w:r>
      <w:r>
        <w:t>、网页课件</w:t>
      </w:r>
      <w:r>
        <w:rPr>
          <w:rFonts w:hint="eastAsia"/>
        </w:rPr>
        <w:t>素材</w:t>
      </w:r>
      <w:r>
        <w:t>等。</w:t>
      </w:r>
      <w:r>
        <w:rPr>
          <w:rFonts w:hint="eastAsia"/>
        </w:rPr>
        <w:t>为便于使用、共享和传播，规定各类资源的格式和要求。</w:t>
      </w:r>
      <w:bookmarkStart w:id="93" w:name="_Toc282863883"/>
    </w:p>
    <w:p>
      <w:pPr>
        <w:tabs>
          <w:tab w:val="left" w:pos="3372"/>
        </w:tabs>
        <w:spacing w:line="360" w:lineRule="auto"/>
        <w:ind w:firstLine="560" w:firstLineChars="200"/>
      </w:pPr>
      <w:bookmarkStart w:id="94" w:name="_Toc467916154"/>
      <w:r>
        <w:rPr>
          <w:rFonts w:hint="eastAsia"/>
        </w:rPr>
        <w:t>1.1文本</w:t>
      </w:r>
      <w:bookmarkEnd w:id="93"/>
      <w:bookmarkEnd w:id="94"/>
      <w:r>
        <w:tab/>
      </w:r>
    </w:p>
    <w:p>
      <w:pPr>
        <w:spacing w:line="360" w:lineRule="auto"/>
        <w:ind w:firstLine="560" w:firstLineChars="200"/>
      </w:pPr>
      <w:r>
        <w:t>文本资源采用常见</w:t>
      </w:r>
      <w:r>
        <w:rPr>
          <w:rFonts w:hint="eastAsia"/>
        </w:rPr>
        <w:t>可编辑</w:t>
      </w:r>
      <w:r>
        <w:t>文本存储格式，包括</w:t>
      </w:r>
      <w:r>
        <w:rPr>
          <w:rFonts w:hint="eastAsia"/>
        </w:rPr>
        <w:t>*.</w:t>
      </w:r>
      <w:r>
        <w:t>doc，</w:t>
      </w:r>
      <w:r>
        <w:rPr>
          <w:rFonts w:hint="eastAsia"/>
        </w:rPr>
        <w:t>*.docx，</w:t>
      </w:r>
      <w:r>
        <w:t>*.</w:t>
      </w:r>
      <w:r>
        <w:rPr>
          <w:rFonts w:hint="eastAsia"/>
        </w:rPr>
        <w:t>pdf，</w:t>
      </w:r>
      <w:r>
        <w:t>*.</w:t>
      </w:r>
      <w:r>
        <w:rPr>
          <w:rFonts w:hint="eastAsia"/>
        </w:rPr>
        <w:t>xls，</w:t>
      </w:r>
      <w:r>
        <w:t>*.</w:t>
      </w:r>
      <w:r>
        <w:rPr>
          <w:rFonts w:hint="eastAsia"/>
        </w:rPr>
        <w:t>xlsx。提交文本资源时内容必须完整，不可加密。</w:t>
      </w:r>
    </w:p>
    <w:p>
      <w:pPr>
        <w:spacing w:line="360" w:lineRule="auto"/>
        <w:ind w:firstLine="560" w:firstLineChars="200"/>
      </w:pPr>
      <w:r>
        <w:t>文本资源的技术要求如下：</w:t>
      </w:r>
    </w:p>
    <w:p>
      <w:pPr>
        <w:jc w:val="center"/>
        <w:rPr>
          <w:b/>
          <w:szCs w:val="21"/>
        </w:rPr>
      </w:pPr>
      <w:r>
        <w:rPr>
          <w:rFonts w:hint="eastAsia"/>
          <w:b/>
          <w:szCs w:val="21"/>
        </w:rPr>
        <w:t>表1 文本技术要求</w:t>
      </w:r>
    </w:p>
    <w:tbl>
      <w:tblPr>
        <w:tblStyle w:val="17"/>
        <w:tblW w:w="8710" w:type="dxa"/>
        <w:jc w:val="center"/>
        <w:tblInd w:w="-387"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1546"/>
        <w:gridCol w:w="7164"/>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364" w:hRule="atLeast"/>
          <w:tblHeader/>
          <w:jc w:val="center"/>
        </w:trPr>
        <w:tc>
          <w:tcPr>
            <w:tcW w:w="8710" w:type="dxa"/>
            <w:gridSpan w:val="2"/>
            <w:vAlign w:val="center"/>
          </w:tcPr>
          <w:p>
            <w:pPr>
              <w:jc w:val="center"/>
              <w:rPr>
                <w:rFonts w:ascii="宋体" w:hAnsi="宋体"/>
                <w:b/>
                <w:bCs/>
                <w:szCs w:val="21"/>
              </w:rPr>
            </w:pPr>
            <w:r>
              <w:rPr>
                <w:rFonts w:hint="eastAsia" w:ascii="宋体" w:hAnsi="宋体"/>
                <w:b/>
                <w:bCs/>
                <w:szCs w:val="21"/>
              </w:rPr>
              <w:t>技术要求</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46" w:type="dxa"/>
            <w:vAlign w:val="center"/>
          </w:tcPr>
          <w:p>
            <w:pPr>
              <w:jc w:val="center"/>
              <w:rPr>
                <w:rFonts w:ascii="宋体" w:hAnsi="宋体"/>
                <w:b/>
                <w:bCs/>
                <w:szCs w:val="21"/>
              </w:rPr>
            </w:pPr>
            <w:r>
              <w:rPr>
                <w:rFonts w:hint="eastAsia" w:ascii="宋体" w:hAnsi="宋体"/>
                <w:b/>
                <w:bCs/>
                <w:szCs w:val="21"/>
              </w:rPr>
              <w:t>软件版本</w:t>
            </w:r>
          </w:p>
        </w:tc>
        <w:tc>
          <w:tcPr>
            <w:tcW w:w="7164" w:type="dxa"/>
            <w:vAlign w:val="center"/>
          </w:tcPr>
          <w:p>
            <w:pPr>
              <w:rPr>
                <w:rFonts w:ascii="宋体" w:hAnsi="宋体"/>
                <w:bCs/>
                <w:szCs w:val="21"/>
              </w:rPr>
            </w:pPr>
            <w:r>
              <w:rPr>
                <w:rFonts w:hint="eastAsia" w:ascii="宋体" w:hAnsi="宋体"/>
                <w:bCs/>
                <w:szCs w:val="21"/>
              </w:rPr>
              <w:t>文件制作版本不低于当前主流版本，要求上下兼容。（文档编辑工具不低于OFFICE2003）</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1546" w:type="dxa"/>
            <w:vMerge w:val="restart"/>
            <w:vAlign w:val="center"/>
          </w:tcPr>
          <w:p>
            <w:pPr>
              <w:jc w:val="center"/>
              <w:rPr>
                <w:rFonts w:ascii="宋体" w:hAnsi="宋体"/>
                <w:b/>
                <w:bCs/>
                <w:szCs w:val="21"/>
              </w:rPr>
            </w:pPr>
            <w:r>
              <w:rPr>
                <w:rFonts w:hint="eastAsia" w:ascii="宋体" w:hAnsi="宋体"/>
                <w:b/>
                <w:bCs/>
                <w:szCs w:val="21"/>
              </w:rPr>
              <w:t>品质要求</w:t>
            </w:r>
          </w:p>
        </w:tc>
        <w:tc>
          <w:tcPr>
            <w:tcW w:w="7164" w:type="dxa"/>
            <w:vAlign w:val="center"/>
          </w:tcPr>
          <w:p>
            <w:pPr>
              <w:rPr>
                <w:rFonts w:ascii="宋体" w:hAnsi="宋体"/>
                <w:bCs/>
                <w:szCs w:val="21"/>
              </w:rPr>
            </w:pPr>
            <w:r>
              <w:rPr>
                <w:rFonts w:hint="eastAsia" w:ascii="宋体" w:hAnsi="宋体"/>
                <w:bCs/>
                <w:szCs w:val="21"/>
              </w:rPr>
              <w:t>采用UTF-8编码或GB18030编码</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文本正文应设定文章标题，文章标题放在正文内第一行居中的位置</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各级标题应设置正确，同一级标题使用同样的样式，文本结构清晰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165" w:hRule="atLeast"/>
          <w:jc w:val="center"/>
        </w:trPr>
        <w:tc>
          <w:tcPr>
            <w:tcW w:w="1546" w:type="dxa"/>
            <w:vMerge w:val="continue"/>
            <w:vAlign w:val="center"/>
          </w:tcPr>
          <w:p>
            <w:pPr>
              <w:jc w:val="center"/>
              <w:rPr>
                <w:rFonts w:ascii="宋体" w:hAnsi="宋体"/>
                <w:bCs/>
                <w:szCs w:val="21"/>
              </w:rPr>
            </w:pPr>
          </w:p>
        </w:tc>
        <w:tc>
          <w:tcPr>
            <w:tcW w:w="7164" w:type="dxa"/>
            <w:tcBorders>
              <w:bottom w:val="single" w:color="auto" w:sz="2" w:space="0"/>
            </w:tcBorders>
            <w:vAlign w:val="center"/>
          </w:tcPr>
          <w:p>
            <w:pPr>
              <w:rPr>
                <w:rFonts w:ascii="宋体" w:hAnsi="宋体"/>
                <w:bCs/>
                <w:szCs w:val="21"/>
              </w:rPr>
            </w:pPr>
            <w:r>
              <w:rPr>
                <w:rFonts w:hint="eastAsia" w:ascii="宋体" w:hAnsi="宋体"/>
                <w:bCs/>
                <w:szCs w:val="21"/>
              </w:rPr>
              <w:t>正文字体、字号、颜色、行间距等要美观、统一</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150" w:hRule="atLeast"/>
          <w:jc w:val="center"/>
        </w:trPr>
        <w:tc>
          <w:tcPr>
            <w:tcW w:w="1546" w:type="dxa"/>
            <w:vMerge w:val="continue"/>
            <w:vAlign w:val="center"/>
          </w:tcPr>
          <w:p>
            <w:pPr>
              <w:jc w:val="center"/>
              <w:rPr>
                <w:rFonts w:ascii="宋体" w:hAnsi="宋体"/>
                <w:bCs/>
                <w:szCs w:val="21"/>
              </w:rPr>
            </w:pPr>
          </w:p>
        </w:tc>
        <w:tc>
          <w:tcPr>
            <w:tcW w:w="7164" w:type="dxa"/>
            <w:tcBorders>
              <w:top w:val="single" w:color="auto" w:sz="2" w:space="0"/>
            </w:tcBorders>
            <w:vAlign w:val="center"/>
          </w:tcPr>
          <w:p>
            <w:pPr>
              <w:rPr>
                <w:rFonts w:ascii="宋体" w:hAnsi="宋体"/>
                <w:bCs/>
                <w:szCs w:val="21"/>
              </w:rPr>
            </w:pPr>
            <w:r>
              <w:rPr>
                <w:rFonts w:hint="eastAsia" w:ascii="宋体" w:hAnsi="宋体"/>
                <w:bCs/>
                <w:szCs w:val="21"/>
              </w:rPr>
              <w:t>文本超过10页应插入页码；超过15页应插入目录</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729"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表格不应超出页面，且要求使用软件的插入表格或绘制表格等功能生成表格，并使用相应功能加工处理，不要用在文本上描绘直线等绘图方式制作表格</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599"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正文中的图像、图形应清晰，图形要符合《中华人民共和国国家标准</w:t>
            </w:r>
            <w:r>
              <w:rPr>
                <w:rFonts w:ascii="宋体" w:hAnsi="宋体"/>
                <w:bCs/>
                <w:szCs w:val="21"/>
              </w:rPr>
              <w:t>:技术制图、图样画法、视图》(GB/T17451-1998)</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381"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文中所用计量符号应符合《有关量、单位和符号的一般原则</w:t>
            </w:r>
            <w:r>
              <w:rPr>
                <w:rFonts w:ascii="宋体" w:hAnsi="宋体"/>
                <w:bCs/>
                <w:szCs w:val="21"/>
              </w:rPr>
              <w:t>》（GB3101-93）</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文档总页数以不超过60页为宜</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546" w:type="dxa"/>
            <w:vMerge w:val="continue"/>
            <w:vAlign w:val="center"/>
          </w:tcPr>
          <w:p>
            <w:pPr>
              <w:jc w:val="center"/>
              <w:rPr>
                <w:rFonts w:ascii="宋体" w:hAnsi="宋体"/>
                <w:bCs/>
                <w:szCs w:val="21"/>
              </w:rPr>
            </w:pPr>
          </w:p>
        </w:tc>
        <w:tc>
          <w:tcPr>
            <w:tcW w:w="7164" w:type="dxa"/>
            <w:vAlign w:val="center"/>
          </w:tcPr>
          <w:p>
            <w:pPr>
              <w:rPr>
                <w:rFonts w:ascii="宋体" w:hAnsi="宋体"/>
                <w:bCs/>
                <w:szCs w:val="21"/>
              </w:rPr>
            </w:pPr>
            <w:r>
              <w:rPr>
                <w:rFonts w:hint="eastAsia" w:ascii="宋体" w:hAnsi="宋体"/>
                <w:bCs/>
                <w:szCs w:val="21"/>
              </w:rPr>
              <w:t>尽量不要使用Word绘制插图，而采用插入已保存的图片的方式</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546" w:type="dxa"/>
            <w:vMerge w:val="continue"/>
            <w:vAlign w:val="center"/>
          </w:tcPr>
          <w:p>
            <w:pPr>
              <w:jc w:val="center"/>
              <w:rPr>
                <w:rFonts w:ascii="宋体" w:hAnsi="宋体"/>
                <w:bCs/>
                <w:szCs w:val="21"/>
              </w:rPr>
            </w:pPr>
          </w:p>
        </w:tc>
        <w:tc>
          <w:tcPr>
            <w:tcW w:w="7164" w:type="dxa"/>
            <w:tcBorders>
              <w:bottom w:val="single" w:color="auto" w:sz="2" w:space="0"/>
            </w:tcBorders>
            <w:vAlign w:val="center"/>
          </w:tcPr>
          <w:p>
            <w:pPr>
              <w:rPr>
                <w:rFonts w:ascii="宋体" w:hAnsi="宋体"/>
                <w:bCs/>
                <w:szCs w:val="21"/>
              </w:rPr>
            </w:pPr>
            <w:r>
              <w:rPr>
                <w:rFonts w:hint="eastAsia" w:ascii="宋体" w:hAnsi="宋体"/>
                <w:bCs/>
                <w:szCs w:val="21"/>
              </w:rPr>
              <w:t>图文混排的方式选择嵌入式</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54" w:hRule="atLeast"/>
          <w:jc w:val="center"/>
        </w:trPr>
        <w:tc>
          <w:tcPr>
            <w:tcW w:w="1546" w:type="dxa"/>
            <w:vMerge w:val="continue"/>
            <w:vAlign w:val="center"/>
          </w:tcPr>
          <w:p>
            <w:pPr>
              <w:jc w:val="center"/>
              <w:rPr>
                <w:rFonts w:ascii="宋体" w:hAnsi="宋体"/>
                <w:bCs/>
                <w:szCs w:val="21"/>
              </w:rPr>
            </w:pPr>
          </w:p>
        </w:tc>
        <w:tc>
          <w:tcPr>
            <w:tcW w:w="7164" w:type="dxa"/>
            <w:tcBorders>
              <w:top w:val="single" w:color="auto" w:sz="2" w:space="0"/>
              <w:bottom w:val="single" w:color="auto" w:sz="2" w:space="0"/>
            </w:tcBorders>
            <w:vAlign w:val="center"/>
          </w:tcPr>
          <w:p>
            <w:pPr>
              <w:rPr>
                <w:rFonts w:ascii="宋体" w:hAnsi="宋体"/>
                <w:bCs/>
                <w:szCs w:val="21"/>
              </w:rPr>
            </w:pPr>
            <w:r>
              <w:rPr>
                <w:rFonts w:hint="eastAsia" w:ascii="宋体" w:hAnsi="宋体"/>
                <w:bCs/>
                <w:szCs w:val="21"/>
              </w:rPr>
              <w:t>文档保存时的显示比例为100%、页面视图</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796" w:hRule="atLeast"/>
          <w:jc w:val="center"/>
        </w:trPr>
        <w:tc>
          <w:tcPr>
            <w:tcW w:w="1546" w:type="dxa"/>
            <w:vMerge w:val="continue"/>
            <w:vAlign w:val="center"/>
          </w:tcPr>
          <w:p>
            <w:pPr>
              <w:jc w:val="center"/>
              <w:rPr>
                <w:rFonts w:ascii="宋体" w:hAnsi="宋体"/>
                <w:bCs/>
                <w:szCs w:val="21"/>
              </w:rPr>
            </w:pPr>
          </w:p>
        </w:tc>
        <w:tc>
          <w:tcPr>
            <w:tcW w:w="7164" w:type="dxa"/>
            <w:tcBorders>
              <w:top w:val="single" w:color="auto" w:sz="2" w:space="0"/>
              <w:bottom w:val="single" w:color="auto" w:sz="2" w:space="0"/>
            </w:tcBorders>
            <w:vAlign w:val="center"/>
          </w:tcPr>
          <w:p>
            <w:pPr>
              <w:rPr>
                <w:rFonts w:ascii="宋体" w:hAnsi="宋体"/>
                <w:bCs/>
                <w:szCs w:val="21"/>
              </w:rPr>
            </w:pPr>
            <w:r>
              <w:rPr>
                <w:rFonts w:hint="eastAsia" w:ascii="宋体" w:hAnsi="宋体"/>
                <w:bCs/>
                <w:szCs w:val="21"/>
              </w:rPr>
              <w:t>文件名应反映主题内容，尽量与文内标题保持一致，不要使用“1.doc”这类含义不明的标题</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36" w:hRule="atLeast"/>
          <w:jc w:val="center"/>
        </w:trPr>
        <w:tc>
          <w:tcPr>
            <w:tcW w:w="1546" w:type="dxa"/>
            <w:vMerge w:val="continue"/>
            <w:tcBorders>
              <w:bottom w:val="single" w:color="auto" w:sz="4" w:space="0"/>
            </w:tcBorders>
            <w:vAlign w:val="center"/>
          </w:tcPr>
          <w:p>
            <w:pPr>
              <w:jc w:val="center"/>
              <w:rPr>
                <w:rFonts w:ascii="宋体" w:hAnsi="宋体"/>
                <w:bCs/>
                <w:szCs w:val="21"/>
              </w:rPr>
            </w:pPr>
          </w:p>
        </w:tc>
        <w:tc>
          <w:tcPr>
            <w:tcW w:w="7164" w:type="dxa"/>
            <w:tcBorders>
              <w:top w:val="single" w:color="auto" w:sz="2" w:space="0"/>
              <w:bottom w:val="single" w:color="auto" w:sz="2" w:space="0"/>
            </w:tcBorders>
            <w:vAlign w:val="center"/>
          </w:tcPr>
          <w:p>
            <w:pPr>
              <w:rPr>
                <w:rFonts w:ascii="宋体" w:hAnsi="宋体"/>
                <w:bCs/>
                <w:szCs w:val="21"/>
              </w:rPr>
            </w:pPr>
            <w:r>
              <w:rPr>
                <w:rFonts w:hint="eastAsia" w:ascii="宋体" w:hAnsi="宋体"/>
                <w:bCs/>
                <w:szCs w:val="21"/>
              </w:rPr>
              <w:t>文本如有对齐的要求，要用Tab键来处理，不要使用空格来实现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702" w:hRule="atLeast"/>
          <w:jc w:val="center"/>
        </w:trPr>
        <w:tc>
          <w:tcPr>
            <w:tcW w:w="1546" w:type="dxa"/>
            <w:tcBorders>
              <w:top w:val="single" w:color="auto" w:sz="4" w:space="0"/>
            </w:tcBorders>
            <w:vAlign w:val="center"/>
          </w:tcPr>
          <w:p>
            <w:pPr>
              <w:jc w:val="center"/>
              <w:rPr>
                <w:rFonts w:ascii="宋体" w:hAnsi="宋体"/>
                <w:b/>
                <w:bCs/>
                <w:szCs w:val="21"/>
              </w:rPr>
            </w:pPr>
            <w:r>
              <w:rPr>
                <w:rFonts w:ascii="宋体" w:hAnsi="宋体"/>
                <w:b/>
                <w:bCs/>
                <w:szCs w:val="21"/>
              </w:rPr>
              <w:t>版权要求</w:t>
            </w:r>
          </w:p>
        </w:tc>
        <w:tc>
          <w:tcPr>
            <w:tcW w:w="7164" w:type="dxa"/>
            <w:tcBorders>
              <w:top w:val="single" w:color="auto" w:sz="2" w:space="0"/>
              <w:bottom w:val="single" w:color="auto" w:sz="2" w:space="0"/>
            </w:tcBorders>
            <w:vAlign w:val="center"/>
          </w:tcPr>
          <w:p>
            <w:pPr>
              <w:rPr>
                <w:rFonts w:ascii="宋体" w:hAnsi="宋体"/>
                <w:bCs/>
                <w:szCs w:val="21"/>
              </w:rPr>
            </w:pPr>
            <w:r>
              <w:rPr>
                <w:rFonts w:hint="eastAsia" w:ascii="宋体" w:hAnsi="宋体"/>
                <w:bCs/>
                <w:szCs w:val="21"/>
              </w:rPr>
              <w:t>文本内容应忠实于原文献，完整有序，符合我国法律法规，尊重各民族风俗习惯，版权不存在争议</w:t>
            </w:r>
          </w:p>
        </w:tc>
      </w:tr>
    </w:tbl>
    <w:p>
      <w:pPr>
        <w:spacing w:line="360" w:lineRule="auto"/>
        <w:ind w:firstLine="560" w:firstLineChars="200"/>
      </w:pPr>
      <w:bookmarkStart w:id="95" w:name="_Toc282863884"/>
      <w:bookmarkStart w:id="96" w:name="_Toc467916155"/>
      <w:r>
        <w:rPr>
          <w:rFonts w:hint="eastAsia"/>
        </w:rPr>
        <w:t>1.2图</w:t>
      </w:r>
      <w:bookmarkEnd w:id="95"/>
      <w:r>
        <w:rPr>
          <w:rFonts w:hint="eastAsia"/>
        </w:rPr>
        <w:t>片</w:t>
      </w:r>
      <w:bookmarkEnd w:id="96"/>
    </w:p>
    <w:p>
      <w:pPr>
        <w:spacing w:line="360" w:lineRule="auto"/>
        <w:ind w:firstLine="560" w:firstLineChars="200"/>
      </w:pPr>
      <w:r>
        <w:rPr>
          <w:rFonts w:hint="eastAsia"/>
        </w:rPr>
        <w:t>图片包括</w:t>
      </w:r>
      <w:r>
        <w:t>图形</w:t>
      </w:r>
      <w:r>
        <w:rPr>
          <w:rFonts w:hint="eastAsia"/>
        </w:rPr>
        <w:t>/</w:t>
      </w:r>
      <w:r>
        <w:t>图像，可采用的格式包括：</w:t>
      </w:r>
      <w:r>
        <w:rPr>
          <w:rFonts w:hint="eastAsia"/>
        </w:rPr>
        <w:t>图片压缩格式文件（*.j</w:t>
      </w:r>
      <w:r>
        <w:t>pg），</w:t>
      </w:r>
      <w:r>
        <w:rPr>
          <w:rFonts w:hint="eastAsia"/>
        </w:rPr>
        <w:t>可移植网络图形格式（*.png），</w:t>
      </w:r>
      <w:r>
        <w:t>AutoCAD图形文件（</w:t>
      </w:r>
      <w:r>
        <w:rPr>
          <w:rFonts w:hint="eastAsia"/>
        </w:rPr>
        <w:t>*.dwg</w:t>
      </w:r>
      <w:r>
        <w:t>），</w:t>
      </w:r>
      <w:r>
        <w:rPr>
          <w:rFonts w:hint="eastAsia"/>
        </w:rPr>
        <w:t>图元文件（*.wmf）和图像互换格式文件（*.gif）。</w:t>
      </w:r>
    </w:p>
    <w:p>
      <w:pPr>
        <w:spacing w:line="360" w:lineRule="auto"/>
        <w:ind w:firstLine="560" w:firstLineChars="200"/>
      </w:pPr>
      <w:r>
        <w:rPr>
          <w:rFonts w:hint="eastAsia"/>
        </w:rPr>
        <w:t>图片</w:t>
      </w:r>
      <w:r>
        <w:t>的技术要求如下：</w:t>
      </w:r>
    </w:p>
    <w:p>
      <w:pPr>
        <w:rPr>
          <w:b/>
          <w:szCs w:val="21"/>
        </w:rPr>
      </w:pPr>
      <w:r>
        <w:rPr>
          <w:rFonts w:hint="eastAsia"/>
          <w:b/>
          <w:szCs w:val="21"/>
        </w:rPr>
        <w:t>表2 图片技术要求</w:t>
      </w:r>
    </w:p>
    <w:tbl>
      <w:tblPr>
        <w:tblStyle w:val="17"/>
        <w:tblW w:w="7487" w:type="dxa"/>
        <w:jc w:val="center"/>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1031"/>
        <w:gridCol w:w="6456"/>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468" w:hRule="atLeast"/>
          <w:tblHeader/>
          <w:jc w:val="center"/>
        </w:trPr>
        <w:tc>
          <w:tcPr>
            <w:tcW w:w="7487" w:type="dxa"/>
            <w:gridSpan w:val="2"/>
            <w:vAlign w:val="center"/>
          </w:tcPr>
          <w:p>
            <w:pPr>
              <w:jc w:val="center"/>
              <w:rPr>
                <w:rFonts w:ascii="宋体" w:hAnsi="宋体"/>
                <w:b/>
                <w:bCs/>
                <w:szCs w:val="21"/>
              </w:rPr>
            </w:pPr>
            <w:r>
              <w:rPr>
                <w:rFonts w:hint="eastAsia" w:ascii="宋体" w:hAnsi="宋体"/>
                <w:b/>
                <w:bCs/>
                <w:szCs w:val="21"/>
              </w:rPr>
              <w:t>技术要求</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031" w:type="dxa"/>
            <w:vMerge w:val="restart"/>
            <w:vAlign w:val="center"/>
          </w:tcPr>
          <w:p>
            <w:pPr>
              <w:jc w:val="center"/>
              <w:rPr>
                <w:rFonts w:ascii="宋体" w:hAnsi="宋体"/>
                <w:b/>
                <w:bCs/>
                <w:szCs w:val="21"/>
              </w:rPr>
            </w:pPr>
            <w:r>
              <w:rPr>
                <w:rFonts w:hint="eastAsia" w:ascii="宋体" w:hAnsi="宋体"/>
                <w:b/>
                <w:bCs/>
                <w:szCs w:val="21"/>
              </w:rPr>
              <w:t>色彩</w:t>
            </w:r>
          </w:p>
        </w:tc>
        <w:tc>
          <w:tcPr>
            <w:tcW w:w="6456" w:type="dxa"/>
            <w:vAlign w:val="center"/>
          </w:tcPr>
          <w:p>
            <w:pPr>
              <w:rPr>
                <w:rFonts w:ascii="宋体" w:hAnsi="宋体"/>
                <w:bCs/>
                <w:szCs w:val="21"/>
              </w:rPr>
            </w:pPr>
            <w:r>
              <w:rPr>
                <w:rFonts w:hint="eastAsia" w:ascii="宋体" w:hAnsi="宋体"/>
                <w:bCs/>
                <w:szCs w:val="21"/>
              </w:rPr>
              <w:t>彩色图像颜色数不低于真彩（24位色），灰度图像的灰度级不低于256级</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532" w:hRule="atLeast"/>
          <w:jc w:val="center"/>
        </w:trPr>
        <w:tc>
          <w:tcPr>
            <w:tcW w:w="1031" w:type="dxa"/>
            <w:vMerge w:val="continue"/>
            <w:vAlign w:val="center"/>
          </w:tcPr>
          <w:p>
            <w:pPr>
              <w:jc w:val="center"/>
              <w:rPr>
                <w:rFonts w:ascii="宋体" w:hAnsi="宋体"/>
                <w:b/>
                <w:bCs/>
                <w:szCs w:val="21"/>
              </w:rPr>
            </w:pPr>
          </w:p>
        </w:tc>
        <w:tc>
          <w:tcPr>
            <w:tcW w:w="6456" w:type="dxa"/>
            <w:vAlign w:val="center"/>
          </w:tcPr>
          <w:p>
            <w:pPr>
              <w:rPr>
                <w:rFonts w:ascii="宋体" w:hAnsi="宋体"/>
                <w:bCs/>
                <w:szCs w:val="21"/>
              </w:rPr>
            </w:pPr>
            <w:r>
              <w:rPr>
                <w:rFonts w:hint="eastAsia" w:ascii="宋体" w:hAnsi="宋体"/>
                <w:bCs/>
                <w:szCs w:val="21"/>
              </w:rPr>
              <w:t>图形可以为单色</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669" w:hRule="atLeast"/>
          <w:jc w:val="center"/>
        </w:trPr>
        <w:tc>
          <w:tcPr>
            <w:tcW w:w="1031" w:type="dxa"/>
            <w:vAlign w:val="center"/>
          </w:tcPr>
          <w:p>
            <w:pPr>
              <w:jc w:val="center"/>
              <w:rPr>
                <w:rFonts w:ascii="宋体" w:hAnsi="宋体"/>
                <w:b/>
                <w:bCs/>
                <w:szCs w:val="21"/>
              </w:rPr>
            </w:pPr>
            <w:r>
              <w:rPr>
                <w:rFonts w:hint="eastAsia" w:ascii="宋体" w:hAnsi="宋体"/>
                <w:b/>
                <w:bCs/>
                <w:szCs w:val="21"/>
              </w:rPr>
              <w:t>分辨率</w:t>
            </w:r>
          </w:p>
        </w:tc>
        <w:tc>
          <w:tcPr>
            <w:tcW w:w="6456" w:type="dxa"/>
            <w:vAlign w:val="center"/>
          </w:tcPr>
          <w:p>
            <w:pPr>
              <w:rPr>
                <w:rFonts w:ascii="宋体" w:hAnsi="宋体"/>
                <w:bCs/>
                <w:szCs w:val="21"/>
              </w:rPr>
            </w:pPr>
            <w:r>
              <w:rPr>
                <w:rFonts w:hint="eastAsia" w:ascii="宋体" w:hAnsi="宋体"/>
                <w:bCs/>
                <w:szCs w:val="21"/>
              </w:rPr>
              <w:t>屏幕分辨率不低于1024×768，扫描图像的扫描分辨率不低于72 dpi，彩色扫描图像的扫描分辨率不低于150dpi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705" w:hRule="atLeast"/>
          <w:jc w:val="center"/>
        </w:trPr>
        <w:tc>
          <w:tcPr>
            <w:tcW w:w="1031" w:type="dxa"/>
            <w:vMerge w:val="restart"/>
            <w:vAlign w:val="center"/>
          </w:tcPr>
          <w:p>
            <w:pPr>
              <w:jc w:val="center"/>
              <w:rPr>
                <w:rFonts w:ascii="宋体" w:hAnsi="宋体"/>
                <w:b/>
                <w:bCs/>
                <w:szCs w:val="21"/>
              </w:rPr>
            </w:pPr>
            <w:r>
              <w:rPr>
                <w:rFonts w:hint="eastAsia" w:ascii="宋体" w:hAnsi="宋体"/>
                <w:b/>
                <w:bCs/>
                <w:szCs w:val="21"/>
              </w:rPr>
              <w:t>清晰度</w:t>
            </w:r>
          </w:p>
        </w:tc>
        <w:tc>
          <w:tcPr>
            <w:tcW w:w="6456" w:type="dxa"/>
            <w:tcBorders>
              <w:bottom w:val="single" w:color="auto" w:sz="2" w:space="0"/>
            </w:tcBorders>
            <w:vAlign w:val="center"/>
          </w:tcPr>
          <w:p>
            <w:pPr>
              <w:rPr>
                <w:rFonts w:ascii="宋体" w:hAnsi="宋体"/>
                <w:bCs/>
                <w:szCs w:val="21"/>
              </w:rPr>
            </w:pPr>
            <w:r>
              <w:rPr>
                <w:rFonts w:hint="eastAsia" w:ascii="宋体" w:hAnsi="宋体"/>
                <w:bCs/>
                <w:szCs w:val="21"/>
              </w:rPr>
              <w:t>图像内容清晰可辨识，不需要借助额外的设备即可辨认图片资源所需要表达的主体内容</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771" w:hRule="atLeast"/>
          <w:jc w:val="center"/>
        </w:trPr>
        <w:tc>
          <w:tcPr>
            <w:tcW w:w="1031" w:type="dxa"/>
            <w:vMerge w:val="continue"/>
            <w:tcBorders>
              <w:bottom w:val="single" w:color="auto" w:sz="2" w:space="0"/>
            </w:tcBorders>
            <w:vAlign w:val="center"/>
          </w:tcPr>
          <w:p>
            <w:pPr>
              <w:jc w:val="center"/>
              <w:rPr>
                <w:rFonts w:ascii="宋体" w:hAnsi="宋体"/>
                <w:b/>
                <w:bCs/>
                <w:szCs w:val="21"/>
              </w:rPr>
            </w:pPr>
          </w:p>
        </w:tc>
        <w:tc>
          <w:tcPr>
            <w:tcW w:w="6456" w:type="dxa"/>
            <w:tcBorders>
              <w:top w:val="single" w:color="auto" w:sz="2" w:space="0"/>
              <w:bottom w:val="single" w:color="auto" w:sz="2" w:space="0"/>
            </w:tcBorders>
            <w:vAlign w:val="center"/>
          </w:tcPr>
          <w:p>
            <w:pPr>
              <w:rPr>
                <w:rFonts w:ascii="宋体" w:hAnsi="宋体"/>
                <w:bCs/>
                <w:szCs w:val="21"/>
              </w:rPr>
            </w:pPr>
            <w:r>
              <w:rPr>
                <w:rFonts w:hint="eastAsia" w:ascii="宋体" w:hAnsi="宋体"/>
                <w:bCs/>
                <w:szCs w:val="21"/>
              </w:rPr>
              <w:t>所有图像扫描后，需要使用Photoshop或其他图像处理软件进行裁剪、校色、去污、纠偏等处理，使页面整洁、清晰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trHeight w:val="623" w:hRule="atLeast"/>
          <w:jc w:val="center"/>
        </w:trPr>
        <w:tc>
          <w:tcPr>
            <w:tcW w:w="1031" w:type="dxa"/>
            <w:tcBorders>
              <w:top w:val="single" w:color="auto" w:sz="2" w:space="0"/>
            </w:tcBorders>
            <w:vAlign w:val="center"/>
          </w:tcPr>
          <w:p>
            <w:pPr>
              <w:jc w:val="center"/>
              <w:rPr>
                <w:rFonts w:ascii="宋体" w:hAnsi="宋体"/>
                <w:b/>
                <w:bCs/>
                <w:szCs w:val="21"/>
              </w:rPr>
            </w:pPr>
            <w:r>
              <w:rPr>
                <w:rFonts w:hint="eastAsia" w:ascii="宋体" w:hAnsi="宋体"/>
                <w:b/>
                <w:bCs/>
                <w:szCs w:val="21"/>
              </w:rPr>
              <w:t>版权</w:t>
            </w:r>
          </w:p>
          <w:p>
            <w:pPr>
              <w:jc w:val="center"/>
              <w:rPr>
                <w:rFonts w:ascii="宋体" w:hAnsi="宋体"/>
                <w:b/>
                <w:bCs/>
                <w:szCs w:val="21"/>
              </w:rPr>
            </w:pPr>
            <w:r>
              <w:rPr>
                <w:rFonts w:hint="eastAsia" w:ascii="宋体" w:hAnsi="宋体"/>
                <w:b/>
                <w:bCs/>
                <w:szCs w:val="21"/>
              </w:rPr>
              <w:t>要求</w:t>
            </w:r>
          </w:p>
        </w:tc>
        <w:tc>
          <w:tcPr>
            <w:tcW w:w="6456" w:type="dxa"/>
            <w:tcBorders>
              <w:top w:val="single" w:color="auto" w:sz="2" w:space="0"/>
            </w:tcBorders>
            <w:vAlign w:val="center"/>
          </w:tcPr>
          <w:p>
            <w:pPr>
              <w:rPr>
                <w:rFonts w:ascii="宋体" w:hAnsi="宋体"/>
                <w:bCs/>
                <w:szCs w:val="21"/>
              </w:rPr>
            </w:pPr>
            <w:r>
              <w:rPr>
                <w:rFonts w:hint="eastAsia" w:ascii="宋体" w:hAnsi="宋体"/>
                <w:bCs/>
                <w:szCs w:val="21"/>
              </w:rPr>
              <w:t>图形/图像内容符合我国法律法规，尊重各民族的风俗习惯，版权不存在争议</w:t>
            </w:r>
          </w:p>
        </w:tc>
      </w:tr>
    </w:tbl>
    <w:p>
      <w:pPr>
        <w:spacing w:line="360" w:lineRule="auto"/>
        <w:ind w:firstLine="560" w:firstLineChars="200"/>
      </w:pPr>
      <w:bookmarkStart w:id="97" w:name="_Toc282863885"/>
      <w:bookmarkStart w:id="98" w:name="_Toc467916156"/>
      <w:r>
        <w:rPr>
          <w:rFonts w:hint="eastAsia"/>
        </w:rPr>
        <w:t>1.3音频</w:t>
      </w:r>
      <w:bookmarkEnd w:id="97"/>
      <w:bookmarkEnd w:id="98"/>
    </w:p>
    <w:p>
      <w:pPr>
        <w:spacing w:line="360" w:lineRule="auto"/>
        <w:ind w:firstLine="560" w:firstLineChars="200"/>
      </w:pPr>
      <w:r>
        <w:t>音频须采用</w:t>
      </w:r>
      <w:r>
        <w:rPr>
          <w:rFonts w:hint="eastAsia"/>
        </w:rPr>
        <w:t>mp3格式</w:t>
      </w:r>
      <w:r>
        <w:t>。音频资源的技术要求如下：</w:t>
      </w:r>
    </w:p>
    <w:p>
      <w:pPr>
        <w:jc w:val="center"/>
        <w:rPr>
          <w:b/>
          <w:szCs w:val="21"/>
        </w:rPr>
      </w:pPr>
      <w:r>
        <w:rPr>
          <w:rFonts w:hint="eastAsia"/>
          <w:b/>
          <w:szCs w:val="21"/>
        </w:rPr>
        <w:t>表3 音频技术要求</w:t>
      </w:r>
    </w:p>
    <w:tbl>
      <w:tblPr>
        <w:tblStyle w:val="17"/>
        <w:tblW w:w="7420"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
      <w:tblGrid>
        <w:gridCol w:w="1145"/>
        <w:gridCol w:w="627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157" w:hRule="atLeast"/>
          <w:jc w:val="center"/>
        </w:trPr>
        <w:tc>
          <w:tcPr>
            <w:tcW w:w="7420" w:type="dxa"/>
            <w:gridSpan w:val="2"/>
            <w:vAlign w:val="center"/>
          </w:tcPr>
          <w:p>
            <w:pPr>
              <w:jc w:val="center"/>
              <w:rPr>
                <w:rFonts w:ascii="宋体" w:hAnsi="宋体"/>
                <w:b/>
                <w:bCs/>
                <w:szCs w:val="21"/>
              </w:rPr>
            </w:pPr>
            <w:r>
              <w:rPr>
                <w:rFonts w:hint="eastAsia" w:ascii="宋体" w:hAnsi="宋体"/>
                <w:b/>
                <w:bCs/>
                <w:szCs w:val="21"/>
              </w:rPr>
              <w:t>技术要求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540" w:hRule="atLeast"/>
          <w:jc w:val="center"/>
        </w:trPr>
        <w:tc>
          <w:tcPr>
            <w:tcW w:w="1145" w:type="dxa"/>
            <w:vMerge w:val="restart"/>
            <w:vAlign w:val="center"/>
          </w:tcPr>
          <w:p>
            <w:pPr>
              <w:jc w:val="center"/>
              <w:rPr>
                <w:rFonts w:ascii="宋体" w:hAnsi="宋体"/>
                <w:b/>
                <w:bCs/>
                <w:szCs w:val="21"/>
              </w:rPr>
            </w:pPr>
            <w:r>
              <w:rPr>
                <w:rFonts w:hint="eastAsia" w:ascii="宋体" w:hAnsi="宋体"/>
                <w:b/>
                <w:bCs/>
                <w:szCs w:val="21"/>
              </w:rPr>
              <w:t>品质要求</w:t>
            </w:r>
          </w:p>
        </w:tc>
        <w:tc>
          <w:tcPr>
            <w:tcW w:w="6275" w:type="dxa"/>
            <w:vAlign w:val="center"/>
          </w:tcPr>
          <w:p>
            <w:pPr>
              <w:rPr>
                <w:rFonts w:ascii="宋体" w:hAnsi="宋体"/>
                <w:bCs/>
                <w:szCs w:val="21"/>
              </w:rPr>
            </w:pPr>
            <w:r>
              <w:rPr>
                <w:rFonts w:hint="eastAsia" w:ascii="宋体" w:hAnsi="宋体"/>
                <w:bCs/>
                <w:szCs w:val="21"/>
              </w:rPr>
              <w:t>音乐类音频的采样频率不低于44.1kHz，语音类音频的采样频率不低于22.05 kHz</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157" w:hRule="atLeast"/>
          <w:jc w:val="center"/>
        </w:trPr>
        <w:tc>
          <w:tcPr>
            <w:tcW w:w="1145" w:type="dxa"/>
            <w:vMerge w:val="continue"/>
            <w:vAlign w:val="center"/>
          </w:tcPr>
          <w:p>
            <w:pPr>
              <w:jc w:val="center"/>
              <w:rPr>
                <w:rFonts w:ascii="宋体" w:hAnsi="宋体"/>
                <w:b/>
                <w:bCs/>
                <w:szCs w:val="21"/>
              </w:rPr>
            </w:pPr>
          </w:p>
        </w:tc>
        <w:tc>
          <w:tcPr>
            <w:tcW w:w="6275" w:type="dxa"/>
            <w:vAlign w:val="center"/>
          </w:tcPr>
          <w:p>
            <w:pPr>
              <w:rPr>
                <w:rFonts w:ascii="宋体" w:hAnsi="宋体"/>
                <w:bCs/>
                <w:szCs w:val="21"/>
              </w:rPr>
            </w:pPr>
            <w:r>
              <w:rPr>
                <w:rFonts w:hint="eastAsia" w:ascii="宋体" w:hAnsi="宋体"/>
                <w:bCs/>
                <w:szCs w:val="21"/>
              </w:rPr>
              <w:t>量化位数大于8位。码率不低于128</w:t>
            </w:r>
            <w:r>
              <w:rPr>
                <w:rFonts w:ascii="宋体" w:hAnsi="宋体"/>
                <w:bCs/>
                <w:szCs w:val="21"/>
              </w:rPr>
              <w:t>K</w:t>
            </w:r>
            <w:r>
              <w:rPr>
                <w:rFonts w:hint="eastAsia" w:ascii="宋体" w:hAnsi="宋体"/>
                <w:bCs/>
                <w:szCs w:val="21"/>
              </w:rPr>
              <w:t>bps</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157" w:hRule="atLeast"/>
          <w:jc w:val="center"/>
        </w:trPr>
        <w:tc>
          <w:tcPr>
            <w:tcW w:w="1145" w:type="dxa"/>
            <w:vMerge w:val="continue"/>
            <w:vAlign w:val="center"/>
          </w:tcPr>
          <w:p>
            <w:pPr>
              <w:jc w:val="center"/>
              <w:rPr>
                <w:rFonts w:ascii="宋体" w:hAnsi="宋体"/>
                <w:b/>
                <w:bCs/>
                <w:szCs w:val="21"/>
              </w:rPr>
            </w:pPr>
          </w:p>
        </w:tc>
        <w:tc>
          <w:tcPr>
            <w:tcW w:w="6275" w:type="dxa"/>
            <w:vAlign w:val="center"/>
          </w:tcPr>
          <w:p>
            <w:pPr>
              <w:rPr>
                <w:rFonts w:ascii="宋体" w:hAnsi="宋体"/>
                <w:bCs/>
                <w:szCs w:val="21"/>
              </w:rPr>
            </w:pPr>
            <w:r>
              <w:rPr>
                <w:rFonts w:hint="eastAsia" w:ascii="宋体" w:hAnsi="宋体"/>
                <w:bCs/>
                <w:szCs w:val="21"/>
              </w:rPr>
              <w:t>声道数为双声道</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157" w:hRule="atLeast"/>
          <w:jc w:val="center"/>
        </w:trPr>
        <w:tc>
          <w:tcPr>
            <w:tcW w:w="1145" w:type="dxa"/>
            <w:vAlign w:val="center"/>
          </w:tcPr>
          <w:p>
            <w:pPr>
              <w:jc w:val="center"/>
              <w:rPr>
                <w:rFonts w:ascii="宋体" w:hAnsi="宋体"/>
                <w:b/>
                <w:bCs/>
                <w:szCs w:val="21"/>
              </w:rPr>
            </w:pPr>
            <w:r>
              <w:rPr>
                <w:rFonts w:hint="eastAsia" w:ascii="宋体" w:hAnsi="宋体"/>
                <w:b/>
                <w:bCs/>
                <w:szCs w:val="21"/>
              </w:rPr>
              <w:t>配音要求</w:t>
            </w:r>
          </w:p>
        </w:tc>
        <w:tc>
          <w:tcPr>
            <w:tcW w:w="6275" w:type="dxa"/>
            <w:vAlign w:val="center"/>
          </w:tcPr>
          <w:p>
            <w:pPr>
              <w:rPr>
                <w:rFonts w:ascii="宋体" w:hAnsi="宋体"/>
                <w:bCs/>
                <w:szCs w:val="21"/>
              </w:rPr>
            </w:pPr>
            <w:r>
              <w:rPr>
                <w:rFonts w:ascii="宋体" w:hAnsi="宋体"/>
                <w:bCs/>
                <w:szCs w:val="21"/>
              </w:rPr>
              <w:t>语音采用标准的普通话、美式或英式英语配音，特殊语言学习和材料除外。使用适合教学的语调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345" w:hRule="atLeast"/>
          <w:jc w:val="center"/>
        </w:trPr>
        <w:tc>
          <w:tcPr>
            <w:tcW w:w="1145" w:type="dxa"/>
            <w:tcBorders>
              <w:bottom w:val="single" w:color="auto" w:sz="4" w:space="0"/>
            </w:tcBorders>
            <w:vAlign w:val="center"/>
          </w:tcPr>
          <w:p>
            <w:pPr>
              <w:jc w:val="center"/>
              <w:rPr>
                <w:rFonts w:ascii="宋体" w:hAnsi="宋体"/>
                <w:b/>
                <w:bCs/>
                <w:szCs w:val="21"/>
              </w:rPr>
            </w:pPr>
            <w:r>
              <w:rPr>
                <w:rFonts w:hint="eastAsia" w:ascii="宋体" w:hAnsi="宋体"/>
                <w:b/>
                <w:bCs/>
                <w:szCs w:val="21"/>
              </w:rPr>
              <w:t>质量要求</w:t>
            </w:r>
          </w:p>
        </w:tc>
        <w:tc>
          <w:tcPr>
            <w:tcW w:w="6275" w:type="dxa"/>
            <w:tcBorders>
              <w:bottom w:val="single" w:color="auto" w:sz="2" w:space="0"/>
            </w:tcBorders>
            <w:vAlign w:val="center"/>
          </w:tcPr>
          <w:p>
            <w:pPr>
              <w:rPr>
                <w:rFonts w:ascii="宋体" w:hAnsi="宋体"/>
                <w:bCs/>
                <w:szCs w:val="21"/>
              </w:rPr>
            </w:pPr>
            <w:r>
              <w:rPr>
                <w:rFonts w:hint="eastAsia" w:ascii="宋体" w:hAnsi="宋体"/>
                <w:bCs/>
                <w:szCs w:val="21"/>
              </w:rPr>
              <w:t>音频播放流畅。声音清晰，噪音低，回响小，无失真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57" w:type="dxa"/>
            <w:bottom w:w="57" w:type="dxa"/>
            <w:right w:w="57" w:type="dxa"/>
          </w:tblCellMar>
        </w:tblPrEx>
        <w:trPr>
          <w:cantSplit/>
          <w:trHeight w:val="375" w:hRule="atLeast"/>
          <w:jc w:val="center"/>
        </w:trPr>
        <w:tc>
          <w:tcPr>
            <w:tcW w:w="1145" w:type="dxa"/>
            <w:tcBorders>
              <w:top w:val="single" w:color="auto" w:sz="4" w:space="0"/>
            </w:tcBorders>
            <w:vAlign w:val="center"/>
          </w:tcPr>
          <w:p>
            <w:pPr>
              <w:jc w:val="center"/>
              <w:rPr>
                <w:rFonts w:ascii="宋体" w:hAnsi="宋体"/>
                <w:b/>
                <w:bCs/>
                <w:szCs w:val="21"/>
              </w:rPr>
            </w:pPr>
            <w:r>
              <w:rPr>
                <w:rFonts w:ascii="宋体" w:hAnsi="宋体"/>
                <w:b/>
                <w:bCs/>
                <w:szCs w:val="21"/>
              </w:rPr>
              <w:t>版权要求</w:t>
            </w:r>
          </w:p>
        </w:tc>
        <w:tc>
          <w:tcPr>
            <w:tcW w:w="6275" w:type="dxa"/>
            <w:tcBorders>
              <w:top w:val="single" w:color="auto" w:sz="2" w:space="0"/>
            </w:tcBorders>
            <w:vAlign w:val="center"/>
          </w:tcPr>
          <w:p>
            <w:pPr>
              <w:rPr>
                <w:rFonts w:ascii="宋体" w:hAnsi="宋体"/>
                <w:bCs/>
                <w:szCs w:val="21"/>
              </w:rPr>
            </w:pPr>
            <w:r>
              <w:rPr>
                <w:rFonts w:hint="eastAsia" w:ascii="宋体" w:hAnsi="宋体"/>
                <w:bCs/>
                <w:szCs w:val="21"/>
              </w:rPr>
              <w:t>音频内容符合我国法律法规，尊重各民族的风俗习惯，版权不存在争议</w:t>
            </w:r>
          </w:p>
        </w:tc>
      </w:tr>
    </w:tbl>
    <w:p>
      <w:pPr>
        <w:spacing w:line="360" w:lineRule="auto"/>
        <w:ind w:firstLine="560" w:firstLineChars="200"/>
      </w:pPr>
      <w:bookmarkStart w:id="99" w:name="_Toc467916157"/>
      <w:bookmarkStart w:id="100" w:name="_Toc282863886"/>
      <w:r>
        <w:rPr>
          <w:rFonts w:hint="eastAsia"/>
        </w:rPr>
        <w:t>1.4视频</w:t>
      </w:r>
      <w:bookmarkEnd w:id="99"/>
      <w:bookmarkEnd w:id="100"/>
    </w:p>
    <w:p>
      <w:pPr>
        <w:spacing w:line="360" w:lineRule="auto"/>
        <w:ind w:firstLine="560" w:firstLineChars="200"/>
      </w:pPr>
      <w:r>
        <w:rPr>
          <w:rFonts w:hint="eastAsia"/>
        </w:rPr>
        <w:t>视频须采用mp4格式。</w:t>
      </w:r>
      <w:r>
        <w:t>视频资源的技术要求如下：</w:t>
      </w:r>
    </w:p>
    <w:p>
      <w:pPr>
        <w:jc w:val="center"/>
        <w:rPr>
          <w:b/>
          <w:szCs w:val="21"/>
        </w:rPr>
      </w:pPr>
      <w:r>
        <w:rPr>
          <w:rFonts w:hint="eastAsia"/>
          <w:b/>
          <w:szCs w:val="21"/>
        </w:rPr>
        <w:t>表4 视频技术要求</w:t>
      </w:r>
    </w:p>
    <w:tbl>
      <w:tblPr>
        <w:tblStyle w:val="17"/>
        <w:tblW w:w="75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6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7515" w:type="dxa"/>
            <w:gridSpan w:val="2"/>
            <w:shd w:val="clear" w:color="auto" w:fill="auto"/>
            <w:vAlign w:val="center"/>
          </w:tcPr>
          <w:p>
            <w:pPr>
              <w:jc w:val="center"/>
              <w:rPr>
                <w:rFonts w:ascii="宋体" w:hAnsi="宋体"/>
                <w:b/>
                <w:bCs/>
                <w:szCs w:val="21"/>
              </w:rPr>
            </w:pPr>
            <w:r>
              <w:rPr>
                <w:rFonts w:hint="eastAsia" w:ascii="宋体" w:hAnsi="宋体"/>
                <w:b/>
                <w:bCs/>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9" w:type="dxa"/>
            <w:shd w:val="clear" w:color="auto" w:fill="auto"/>
            <w:vAlign w:val="center"/>
          </w:tcPr>
          <w:p>
            <w:pPr>
              <w:rPr>
                <w:rFonts w:ascii="宋体" w:hAnsi="宋体"/>
                <w:b/>
                <w:bCs/>
                <w:szCs w:val="21"/>
              </w:rPr>
            </w:pPr>
            <w:r>
              <w:rPr>
                <w:rFonts w:hint="eastAsia" w:ascii="宋体" w:hAnsi="宋体"/>
                <w:b/>
                <w:bCs/>
                <w:szCs w:val="21"/>
              </w:rPr>
              <w:t>品质要求</w:t>
            </w:r>
          </w:p>
        </w:tc>
        <w:tc>
          <w:tcPr>
            <w:tcW w:w="6356" w:type="dxa"/>
            <w:shd w:val="clear" w:color="auto" w:fill="auto"/>
            <w:vAlign w:val="center"/>
          </w:tcPr>
          <w:p>
            <w:pPr>
              <w:rPr>
                <w:rFonts w:ascii="宋体" w:hAnsi="宋体"/>
                <w:bCs/>
                <w:szCs w:val="21"/>
              </w:rPr>
            </w:pPr>
            <w:r>
              <w:rPr>
                <w:rFonts w:hint="eastAsia" w:ascii="宋体" w:hAnsi="宋体"/>
                <w:bCs/>
                <w:szCs w:val="21"/>
              </w:rPr>
              <w:t>新制</w:t>
            </w:r>
            <w:r>
              <w:rPr>
                <w:rFonts w:ascii="宋体" w:hAnsi="宋体"/>
                <w:bCs/>
                <w:szCs w:val="21"/>
              </w:rPr>
              <w:t>视频压缩采用H.264(MPEG-4 Part10：profile=main, level=3.0)编码方式，码率</w:t>
            </w:r>
            <w:r>
              <w:rPr>
                <w:rFonts w:hint="eastAsia" w:ascii="宋体" w:hAnsi="宋体"/>
                <w:bCs/>
                <w:szCs w:val="21"/>
              </w:rPr>
              <w:t>3M</w:t>
            </w:r>
            <w:r>
              <w:rPr>
                <w:rFonts w:ascii="宋体" w:hAnsi="宋体"/>
                <w:bCs/>
                <w:szCs w:val="21"/>
              </w:rPr>
              <w:t>以上，帧率不低于25fps，分辨率不低于1024×576（16:9）。（</w:t>
            </w:r>
            <w:r>
              <w:rPr>
                <w:rFonts w:hint="eastAsia" w:ascii="宋体" w:hAnsi="宋体"/>
                <w:bCs/>
                <w:szCs w:val="21"/>
              </w:rPr>
              <w:t>经典珍贵老视频可以不受此要求限制</w:t>
            </w:r>
            <w:r>
              <w:rPr>
                <w:rFonts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1159" w:type="dxa"/>
            <w:vMerge w:val="restart"/>
            <w:shd w:val="clear" w:color="auto" w:fill="auto"/>
            <w:vAlign w:val="center"/>
          </w:tcPr>
          <w:p>
            <w:pPr>
              <w:rPr>
                <w:rFonts w:ascii="宋体" w:hAnsi="宋体"/>
                <w:b/>
                <w:bCs/>
                <w:szCs w:val="21"/>
              </w:rPr>
            </w:pPr>
            <w:r>
              <w:rPr>
                <w:rFonts w:hint="eastAsia" w:ascii="宋体" w:hAnsi="宋体"/>
                <w:b/>
                <w:bCs/>
                <w:szCs w:val="21"/>
              </w:rPr>
              <w:t>字幕要求</w:t>
            </w:r>
          </w:p>
        </w:tc>
        <w:tc>
          <w:tcPr>
            <w:tcW w:w="6356" w:type="dxa"/>
            <w:shd w:val="clear" w:color="auto" w:fill="auto"/>
            <w:vAlign w:val="center"/>
          </w:tcPr>
          <w:p>
            <w:pPr>
              <w:rPr>
                <w:rFonts w:ascii="宋体" w:hAnsi="宋体"/>
                <w:bCs/>
                <w:szCs w:val="21"/>
              </w:rPr>
            </w:pPr>
            <w:r>
              <w:rPr>
                <w:rFonts w:hint="eastAsia" w:ascii="宋体" w:hAnsi="宋体"/>
                <w:bCs/>
                <w:szCs w:val="21"/>
              </w:rPr>
              <w:t>字幕清晰美观，能正确有效地传达信息。字幕文字尽可能短少，在节目中的停留时间以能看清楚为准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jc w:val="center"/>
        </w:trPr>
        <w:tc>
          <w:tcPr>
            <w:tcW w:w="1159" w:type="dxa"/>
            <w:vMerge w:val="continue"/>
            <w:shd w:val="clear" w:color="auto" w:fill="auto"/>
            <w:vAlign w:val="center"/>
          </w:tcPr>
          <w:p>
            <w:pPr>
              <w:rPr>
                <w:rFonts w:ascii="宋体" w:hAnsi="宋体"/>
                <w:b/>
                <w:bCs/>
                <w:szCs w:val="21"/>
              </w:rPr>
            </w:pPr>
          </w:p>
        </w:tc>
        <w:tc>
          <w:tcPr>
            <w:tcW w:w="6356" w:type="dxa"/>
            <w:shd w:val="clear" w:color="auto" w:fill="auto"/>
            <w:vAlign w:val="center"/>
          </w:tcPr>
          <w:p>
            <w:pPr>
              <w:rPr>
                <w:rFonts w:ascii="宋体" w:hAnsi="宋体"/>
                <w:bCs/>
                <w:szCs w:val="21"/>
              </w:rPr>
            </w:pPr>
            <w:r>
              <w:rPr>
                <w:rFonts w:ascii="宋体" w:hAnsi="宋体"/>
                <w:bCs/>
                <w:szCs w:val="21"/>
              </w:rPr>
              <w:t>字幕要使用符合国家标准（</w:t>
            </w:r>
            <w:r>
              <w:rPr>
                <w:rFonts w:hint="eastAsia" w:ascii="宋体" w:hAnsi="宋体"/>
                <w:bCs/>
                <w:szCs w:val="21"/>
              </w:rPr>
              <w:t>以国务院</w:t>
            </w:r>
            <w:r>
              <w:rPr>
                <w:rFonts w:ascii="宋体" w:hAnsi="宋体"/>
                <w:bCs/>
                <w:szCs w:val="21"/>
              </w:rPr>
              <w:t>1986年10月发布的《简化字总表》与2013年6月5日发布的《通用规范汉字表》为准）的规范字，不出现繁体字、异体字(国家规定的除外)、错别字；字幕的字体、大小、色彩搭配、摆放位置、停留时间、出入屏方式力求与其他要素（画面、解说词、音乐）配合适当，不能破坏原有画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9" w:type="dxa"/>
            <w:vMerge w:val="restart"/>
            <w:shd w:val="clear" w:color="auto" w:fill="auto"/>
            <w:vAlign w:val="center"/>
          </w:tcPr>
          <w:p>
            <w:pPr>
              <w:rPr>
                <w:rFonts w:ascii="宋体" w:hAnsi="宋体"/>
                <w:b/>
                <w:bCs/>
                <w:szCs w:val="21"/>
              </w:rPr>
            </w:pPr>
            <w:r>
              <w:rPr>
                <w:rFonts w:hint="eastAsia" w:ascii="宋体" w:hAnsi="宋体"/>
                <w:b/>
                <w:bCs/>
                <w:szCs w:val="21"/>
              </w:rPr>
              <w:t>画面要求</w:t>
            </w:r>
          </w:p>
        </w:tc>
        <w:tc>
          <w:tcPr>
            <w:tcW w:w="6356" w:type="dxa"/>
            <w:shd w:val="clear" w:color="auto" w:fill="auto"/>
            <w:vAlign w:val="center"/>
          </w:tcPr>
          <w:p>
            <w:pPr>
              <w:rPr>
                <w:rFonts w:ascii="宋体" w:hAnsi="宋体"/>
                <w:bCs/>
                <w:szCs w:val="21"/>
              </w:rPr>
            </w:pPr>
            <w:r>
              <w:rPr>
                <w:rFonts w:hint="eastAsia" w:ascii="宋体" w:hAnsi="宋体"/>
                <w:bCs/>
                <w:szCs w:val="21"/>
              </w:rPr>
              <w:t>视频类素材每帧图像颜色数不低于</w:t>
            </w:r>
            <w:r>
              <w:rPr>
                <w:rFonts w:ascii="宋体" w:hAnsi="宋体"/>
                <w:bCs/>
                <w:szCs w:val="21"/>
              </w:rPr>
              <w:t>256</w:t>
            </w:r>
            <w:r>
              <w:rPr>
                <w:rFonts w:hint="eastAsia" w:ascii="宋体" w:hAnsi="宋体"/>
                <w:bCs/>
                <w:szCs w:val="21"/>
              </w:rPr>
              <w:t>色或灰度级不低于</w:t>
            </w:r>
            <w:r>
              <w:rPr>
                <w:rFonts w:ascii="宋体" w:hAnsi="宋体"/>
                <w:bCs/>
                <w:szCs w:val="21"/>
              </w:rPr>
              <w:t>128</w:t>
            </w:r>
            <w:r>
              <w:rPr>
                <w:rFonts w:hint="eastAsia" w:ascii="宋体" w:hAnsi="宋体"/>
                <w:bCs/>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9" w:type="dxa"/>
            <w:vMerge w:val="continue"/>
            <w:shd w:val="clear" w:color="auto" w:fill="auto"/>
            <w:vAlign w:val="center"/>
          </w:tcPr>
          <w:p>
            <w:pPr>
              <w:rPr>
                <w:rFonts w:ascii="宋体" w:hAnsi="宋体"/>
                <w:b/>
                <w:bCs/>
                <w:szCs w:val="21"/>
              </w:rPr>
            </w:pPr>
          </w:p>
        </w:tc>
        <w:tc>
          <w:tcPr>
            <w:tcW w:w="6356" w:type="dxa"/>
            <w:shd w:val="clear" w:color="auto" w:fill="auto"/>
            <w:vAlign w:val="center"/>
          </w:tcPr>
          <w:p>
            <w:pPr>
              <w:rPr>
                <w:rFonts w:ascii="宋体" w:hAnsi="宋体"/>
                <w:bCs/>
                <w:szCs w:val="21"/>
              </w:rPr>
            </w:pPr>
            <w:r>
              <w:rPr>
                <w:rFonts w:hint="eastAsia" w:ascii="宋体" w:hAnsi="宋体"/>
                <w:bCs/>
                <w:szCs w:val="21"/>
              </w:rPr>
              <w:t>视频图像清晰，播放时没有明显的噪点，播放流畅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59" w:type="dxa"/>
            <w:vMerge w:val="continue"/>
            <w:shd w:val="clear" w:color="auto" w:fill="auto"/>
            <w:vAlign w:val="center"/>
          </w:tcPr>
          <w:p>
            <w:pPr>
              <w:rPr>
                <w:rFonts w:ascii="宋体" w:hAnsi="宋体"/>
                <w:b/>
                <w:bCs/>
                <w:szCs w:val="21"/>
              </w:rPr>
            </w:pPr>
          </w:p>
        </w:tc>
        <w:tc>
          <w:tcPr>
            <w:tcW w:w="6356" w:type="dxa"/>
            <w:shd w:val="clear" w:color="auto" w:fill="auto"/>
            <w:vAlign w:val="center"/>
          </w:tcPr>
          <w:p>
            <w:pPr>
              <w:rPr>
                <w:rFonts w:ascii="宋体" w:hAnsi="宋体"/>
                <w:bCs/>
                <w:szCs w:val="21"/>
              </w:rPr>
            </w:pPr>
            <w:r>
              <w:rPr>
                <w:rFonts w:ascii="宋体" w:hAnsi="宋体"/>
                <w:bCs/>
                <w:szCs w:val="21"/>
              </w:rPr>
              <w:t>彩色视频素材每帧图像颜色均为真彩色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jc w:val="center"/>
        </w:trPr>
        <w:tc>
          <w:tcPr>
            <w:tcW w:w="1159" w:type="dxa"/>
            <w:vMerge w:val="continue"/>
            <w:tcBorders>
              <w:bottom w:val="single" w:color="auto" w:sz="2" w:space="0"/>
            </w:tcBorders>
            <w:shd w:val="clear" w:color="auto" w:fill="auto"/>
            <w:vAlign w:val="center"/>
          </w:tcPr>
          <w:p>
            <w:pPr>
              <w:rPr>
                <w:rFonts w:ascii="宋体" w:hAnsi="宋体"/>
                <w:b/>
                <w:bCs/>
                <w:szCs w:val="21"/>
              </w:rPr>
            </w:pPr>
          </w:p>
        </w:tc>
        <w:tc>
          <w:tcPr>
            <w:tcW w:w="6356" w:type="dxa"/>
            <w:tcBorders>
              <w:bottom w:val="single" w:color="auto" w:sz="2" w:space="0"/>
            </w:tcBorders>
            <w:shd w:val="clear" w:color="auto" w:fill="auto"/>
          </w:tcPr>
          <w:p>
            <w:pPr>
              <w:rPr>
                <w:rFonts w:ascii="宋体" w:hAnsi="宋体"/>
                <w:bCs/>
                <w:szCs w:val="21"/>
              </w:rPr>
            </w:pPr>
            <w:r>
              <w:rPr>
                <w:rFonts w:ascii="宋体" w:hAnsi="宋体"/>
                <w:bCs/>
                <w:szCs w:val="21"/>
              </w:rPr>
              <w:t>音频与视频图像有良好的同步，音频部分应符合音频素材的质量要求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jc w:val="center"/>
        </w:trPr>
        <w:tc>
          <w:tcPr>
            <w:tcW w:w="1159" w:type="dxa"/>
            <w:vMerge w:val="restart"/>
            <w:tcBorders>
              <w:top w:val="single" w:color="auto" w:sz="2" w:space="0"/>
            </w:tcBorders>
            <w:shd w:val="clear" w:color="auto" w:fill="auto"/>
            <w:vAlign w:val="center"/>
          </w:tcPr>
          <w:p>
            <w:pPr>
              <w:rPr>
                <w:rFonts w:ascii="宋体" w:hAnsi="宋体"/>
                <w:b/>
                <w:bCs/>
                <w:szCs w:val="21"/>
              </w:rPr>
            </w:pPr>
            <w:r>
              <w:rPr>
                <w:rFonts w:hint="eastAsia" w:ascii="宋体" w:hAnsi="宋体"/>
                <w:b/>
                <w:bCs/>
                <w:szCs w:val="21"/>
              </w:rPr>
              <w:t>版权要求</w:t>
            </w:r>
          </w:p>
        </w:tc>
        <w:tc>
          <w:tcPr>
            <w:tcW w:w="6356" w:type="dxa"/>
            <w:tcBorders>
              <w:top w:val="single" w:color="auto" w:sz="2" w:space="0"/>
              <w:bottom w:val="single" w:color="auto" w:sz="2" w:space="0"/>
            </w:tcBorders>
            <w:shd w:val="clear" w:color="auto" w:fill="auto"/>
          </w:tcPr>
          <w:p>
            <w:pPr>
              <w:rPr>
                <w:rFonts w:ascii="宋体" w:hAnsi="宋体"/>
                <w:bCs/>
                <w:szCs w:val="21"/>
              </w:rPr>
            </w:pPr>
            <w:r>
              <w:rPr>
                <w:rFonts w:hint="eastAsia" w:ascii="宋体" w:hAnsi="宋体"/>
                <w:bCs/>
                <w:szCs w:val="21"/>
              </w:rPr>
              <w:t>视频内容符合我国法律法规，尊重各民族的风俗习惯，版权不存在争议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 w:hRule="atLeast"/>
          <w:jc w:val="center"/>
        </w:trPr>
        <w:tc>
          <w:tcPr>
            <w:tcW w:w="1159" w:type="dxa"/>
            <w:vMerge w:val="continue"/>
            <w:tcBorders>
              <w:bottom w:val="single" w:color="auto" w:sz="2" w:space="0"/>
            </w:tcBorders>
            <w:shd w:val="clear" w:color="auto" w:fill="auto"/>
          </w:tcPr>
          <w:p>
            <w:pPr>
              <w:rPr>
                <w:rFonts w:ascii="宋体" w:hAnsi="宋体"/>
                <w:bCs/>
                <w:szCs w:val="21"/>
              </w:rPr>
            </w:pPr>
          </w:p>
        </w:tc>
        <w:tc>
          <w:tcPr>
            <w:tcW w:w="6356" w:type="dxa"/>
            <w:tcBorders>
              <w:top w:val="single" w:color="auto" w:sz="2" w:space="0"/>
            </w:tcBorders>
            <w:shd w:val="clear" w:color="auto" w:fill="auto"/>
          </w:tcPr>
          <w:p>
            <w:pPr>
              <w:rPr>
                <w:rFonts w:ascii="宋体" w:hAnsi="宋体"/>
                <w:bCs/>
                <w:szCs w:val="21"/>
              </w:rPr>
            </w:pPr>
            <w:r>
              <w:rPr>
                <w:rFonts w:hint="eastAsia" w:ascii="宋体" w:hAnsi="宋体"/>
                <w:bCs/>
                <w:szCs w:val="21"/>
              </w:rPr>
              <w:t>若其中包含少数民族或外国语言文字信息，应遵循其原内容完整性，使用原语言，并根据原语言进行字幕汉化处理</w:t>
            </w:r>
          </w:p>
        </w:tc>
      </w:tr>
    </w:tbl>
    <w:p>
      <w:pPr>
        <w:spacing w:line="360" w:lineRule="auto"/>
        <w:ind w:firstLine="560" w:firstLineChars="200"/>
      </w:pPr>
      <w:bookmarkStart w:id="101" w:name="_Toc282863887"/>
      <w:bookmarkStart w:id="102" w:name="_Toc467916158"/>
      <w:r>
        <w:rPr>
          <w:rFonts w:hint="eastAsia"/>
        </w:rPr>
        <w:t>1.5动画</w:t>
      </w:r>
      <w:bookmarkEnd w:id="101"/>
      <w:bookmarkEnd w:id="102"/>
    </w:p>
    <w:p>
      <w:pPr>
        <w:spacing w:line="360" w:lineRule="auto"/>
        <w:ind w:firstLine="560" w:firstLineChars="200"/>
      </w:pPr>
      <w:r>
        <w:t>动画文件可采用Macromedia</w:t>
      </w:r>
      <w:r>
        <w:rPr>
          <w:rFonts w:hint="eastAsia"/>
        </w:rPr>
        <w:t>的</w:t>
      </w:r>
      <w:r>
        <w:t>Flash</w:t>
      </w:r>
      <w:r>
        <w:rPr>
          <w:rFonts w:hint="eastAsia"/>
        </w:rPr>
        <w:t>动画文件（*.</w:t>
      </w:r>
      <w:r>
        <w:t>swf</w:t>
      </w:r>
      <w:r>
        <w:rPr>
          <w:rFonts w:hint="eastAsia"/>
        </w:rPr>
        <w:t>）或网页动画文件（html5+javascript）。提交时须提供可执行文件。</w:t>
      </w:r>
    </w:p>
    <w:p>
      <w:pPr>
        <w:spacing w:line="360" w:lineRule="auto"/>
        <w:ind w:firstLine="560" w:firstLineChars="200"/>
      </w:pPr>
      <w:r>
        <w:t>动画资源的技术要求如下：</w:t>
      </w:r>
    </w:p>
    <w:p>
      <w:pPr>
        <w:jc w:val="center"/>
        <w:rPr>
          <w:b/>
          <w:szCs w:val="21"/>
        </w:rPr>
      </w:pPr>
      <w:r>
        <w:rPr>
          <w:rFonts w:hint="eastAsia"/>
          <w:b/>
          <w:szCs w:val="21"/>
        </w:rPr>
        <w:t>表5 动画技术要求</w:t>
      </w:r>
    </w:p>
    <w:tbl>
      <w:tblPr>
        <w:tblStyle w:val="17"/>
        <w:tblW w:w="74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6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7475" w:type="dxa"/>
            <w:gridSpan w:val="2"/>
            <w:shd w:val="clear" w:color="auto" w:fill="auto"/>
            <w:vAlign w:val="center"/>
          </w:tcPr>
          <w:p>
            <w:pPr>
              <w:jc w:val="center"/>
              <w:rPr>
                <w:rFonts w:ascii="宋体" w:hAnsi="宋体"/>
                <w:b/>
                <w:bCs/>
                <w:szCs w:val="21"/>
              </w:rPr>
            </w:pPr>
            <w:r>
              <w:rPr>
                <w:rFonts w:hint="eastAsia" w:ascii="宋体" w:hAnsi="宋体"/>
                <w:b/>
                <w:bCs/>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8" w:type="dxa"/>
            <w:vMerge w:val="restart"/>
            <w:shd w:val="clear" w:color="auto" w:fill="auto"/>
            <w:vAlign w:val="center"/>
          </w:tcPr>
          <w:p>
            <w:pPr>
              <w:jc w:val="center"/>
              <w:rPr>
                <w:rFonts w:ascii="宋体" w:hAnsi="宋体"/>
                <w:b/>
                <w:bCs/>
                <w:szCs w:val="21"/>
              </w:rPr>
            </w:pPr>
            <w:r>
              <w:rPr>
                <w:rFonts w:hint="eastAsia" w:ascii="宋体" w:hAnsi="宋体"/>
                <w:b/>
                <w:bCs/>
                <w:szCs w:val="21"/>
              </w:rPr>
              <w:t>品质要求</w:t>
            </w:r>
          </w:p>
        </w:tc>
        <w:tc>
          <w:tcPr>
            <w:tcW w:w="6187" w:type="dxa"/>
            <w:shd w:val="clear" w:color="auto" w:fill="auto"/>
            <w:vAlign w:val="center"/>
          </w:tcPr>
          <w:p>
            <w:pPr>
              <w:rPr>
                <w:rFonts w:ascii="宋体" w:hAnsi="宋体"/>
                <w:bCs/>
                <w:szCs w:val="21"/>
              </w:rPr>
            </w:pPr>
            <w:r>
              <w:rPr>
                <w:rFonts w:hint="eastAsia" w:ascii="宋体" w:hAnsi="宋体"/>
                <w:bCs/>
                <w:szCs w:val="21"/>
              </w:rPr>
              <w:t>动画中如果有文字，文字要醒目，文字的字体、字号与内容协调，字体颜色避免与背景色相近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8" w:type="dxa"/>
            <w:vMerge w:val="continue"/>
            <w:shd w:val="clear" w:color="auto" w:fill="auto"/>
            <w:vAlign w:val="center"/>
          </w:tcPr>
          <w:p>
            <w:pPr>
              <w:jc w:val="center"/>
              <w:rPr>
                <w:rFonts w:ascii="宋体" w:hAnsi="宋体"/>
                <w:b/>
                <w:bCs/>
                <w:szCs w:val="21"/>
              </w:rPr>
            </w:pPr>
          </w:p>
        </w:tc>
        <w:tc>
          <w:tcPr>
            <w:tcW w:w="6187" w:type="dxa"/>
            <w:shd w:val="clear" w:color="auto" w:fill="auto"/>
            <w:vAlign w:val="center"/>
          </w:tcPr>
          <w:p>
            <w:pPr>
              <w:rPr>
                <w:rFonts w:ascii="宋体" w:hAnsi="宋体"/>
                <w:bCs/>
                <w:szCs w:val="21"/>
              </w:rPr>
            </w:pPr>
            <w:r>
              <w:rPr>
                <w:rFonts w:hint="eastAsia" w:ascii="宋体" w:hAnsi="宋体"/>
                <w:bCs/>
                <w:szCs w:val="21"/>
              </w:rPr>
              <w:t>动画色彩造型应和谐，画面简洁清晰，界面友好，交互设计合理，操作简单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1288" w:type="dxa"/>
            <w:vMerge w:val="continue"/>
            <w:shd w:val="clear" w:color="auto" w:fill="auto"/>
            <w:vAlign w:val="center"/>
          </w:tcPr>
          <w:p>
            <w:pPr>
              <w:jc w:val="center"/>
              <w:rPr>
                <w:rFonts w:ascii="宋体" w:hAnsi="宋体"/>
                <w:b/>
                <w:bCs/>
                <w:szCs w:val="21"/>
              </w:rPr>
            </w:pPr>
          </w:p>
        </w:tc>
        <w:tc>
          <w:tcPr>
            <w:tcW w:w="6187" w:type="dxa"/>
            <w:shd w:val="clear" w:color="auto" w:fill="auto"/>
            <w:vAlign w:val="center"/>
          </w:tcPr>
          <w:p>
            <w:pPr>
              <w:rPr>
                <w:rFonts w:ascii="宋体" w:hAnsi="宋体"/>
                <w:bCs/>
                <w:szCs w:val="21"/>
              </w:rPr>
            </w:pPr>
            <w:r>
              <w:rPr>
                <w:rFonts w:hint="eastAsia" w:ascii="宋体" w:hAnsi="宋体"/>
                <w:bCs/>
                <w:szCs w:val="21"/>
              </w:rPr>
              <w:t>动画连续，节奏合适，帧和帧之间的关联性要强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288" w:type="dxa"/>
            <w:vMerge w:val="continue"/>
            <w:shd w:val="clear" w:color="auto" w:fill="auto"/>
            <w:vAlign w:val="center"/>
          </w:tcPr>
          <w:p>
            <w:pPr>
              <w:jc w:val="center"/>
              <w:rPr>
                <w:rFonts w:ascii="宋体" w:hAnsi="宋体"/>
                <w:b/>
                <w:bCs/>
                <w:szCs w:val="21"/>
              </w:rPr>
            </w:pPr>
          </w:p>
        </w:tc>
        <w:tc>
          <w:tcPr>
            <w:tcW w:w="6187" w:type="dxa"/>
            <w:tcBorders>
              <w:bottom w:val="single" w:color="auto" w:sz="2" w:space="0"/>
            </w:tcBorders>
            <w:shd w:val="clear" w:color="auto" w:fill="auto"/>
            <w:vAlign w:val="center"/>
          </w:tcPr>
          <w:p>
            <w:pPr>
              <w:rPr>
                <w:rFonts w:ascii="宋体" w:hAnsi="宋体"/>
                <w:bCs/>
                <w:szCs w:val="21"/>
              </w:rPr>
            </w:pPr>
            <w:r>
              <w:rPr>
                <w:rFonts w:hint="eastAsia" w:ascii="宋体" w:hAnsi="宋体"/>
                <w:bCs/>
                <w:szCs w:val="21"/>
              </w:rPr>
              <w:t>如果有解说，配音应标准，无噪音，声音悦耳，音量适当，快慢适度，并提供控制解说的开关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288" w:type="dxa"/>
            <w:vMerge w:val="continue"/>
            <w:shd w:val="clear" w:color="auto" w:fill="auto"/>
            <w:vAlign w:val="center"/>
          </w:tcPr>
          <w:p>
            <w:pPr>
              <w:jc w:val="center"/>
              <w:rPr>
                <w:rFonts w:ascii="宋体" w:hAnsi="宋体"/>
                <w:b/>
                <w:bCs/>
                <w:szCs w:val="21"/>
              </w:rPr>
            </w:pPr>
          </w:p>
        </w:tc>
        <w:tc>
          <w:tcPr>
            <w:tcW w:w="6187" w:type="dxa"/>
            <w:tcBorders>
              <w:top w:val="single" w:color="auto" w:sz="2" w:space="0"/>
              <w:bottom w:val="single" w:color="auto" w:sz="2" w:space="0"/>
            </w:tcBorders>
            <w:shd w:val="clear" w:color="auto" w:fill="auto"/>
            <w:vAlign w:val="center"/>
          </w:tcPr>
          <w:p>
            <w:pPr>
              <w:rPr>
                <w:rFonts w:ascii="宋体" w:hAnsi="宋体"/>
                <w:bCs/>
                <w:szCs w:val="21"/>
              </w:rPr>
            </w:pPr>
            <w:r>
              <w:rPr>
                <w:rFonts w:hint="eastAsia" w:ascii="宋体" w:hAnsi="宋体"/>
                <w:bCs/>
                <w:szCs w:val="21"/>
              </w:rPr>
              <w:t>动画如果有背景音乐，背景音乐音量不宜过大，音乐与内容相符，并提供控制开关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88" w:type="dxa"/>
            <w:vMerge w:val="continue"/>
            <w:shd w:val="clear" w:color="auto" w:fill="auto"/>
            <w:vAlign w:val="center"/>
          </w:tcPr>
          <w:p>
            <w:pPr>
              <w:jc w:val="center"/>
              <w:rPr>
                <w:rFonts w:ascii="宋体" w:hAnsi="宋体"/>
                <w:b/>
                <w:bCs/>
                <w:szCs w:val="21"/>
              </w:rPr>
            </w:pPr>
          </w:p>
        </w:tc>
        <w:tc>
          <w:tcPr>
            <w:tcW w:w="6187" w:type="dxa"/>
            <w:tcBorders>
              <w:top w:val="single" w:color="auto" w:sz="2" w:space="0"/>
            </w:tcBorders>
            <w:shd w:val="clear" w:color="auto" w:fill="auto"/>
            <w:vAlign w:val="center"/>
          </w:tcPr>
          <w:p>
            <w:pPr>
              <w:rPr>
                <w:rFonts w:ascii="宋体" w:hAnsi="宋体"/>
                <w:bCs/>
                <w:szCs w:val="21"/>
              </w:rPr>
            </w:pPr>
            <w:r>
              <w:rPr>
                <w:rFonts w:hint="eastAsia" w:ascii="宋体" w:hAnsi="宋体"/>
                <w:bCs/>
                <w:szCs w:val="21"/>
              </w:rPr>
              <w:t>动画演播过程要流畅，静止画面时间不超过5秒钟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1288" w:type="dxa"/>
            <w:vMerge w:val="continue"/>
            <w:shd w:val="clear" w:color="auto" w:fill="auto"/>
            <w:vAlign w:val="center"/>
          </w:tcPr>
          <w:p>
            <w:pPr>
              <w:jc w:val="center"/>
              <w:rPr>
                <w:rFonts w:ascii="宋体" w:hAnsi="宋体"/>
                <w:b/>
                <w:bCs/>
                <w:szCs w:val="21"/>
              </w:rPr>
            </w:pPr>
          </w:p>
        </w:tc>
        <w:tc>
          <w:tcPr>
            <w:tcW w:w="6187" w:type="dxa"/>
            <w:tcBorders>
              <w:bottom w:val="single" w:color="auto" w:sz="2" w:space="0"/>
            </w:tcBorders>
            <w:shd w:val="clear" w:color="auto" w:fill="auto"/>
            <w:vAlign w:val="center"/>
          </w:tcPr>
          <w:p>
            <w:pPr>
              <w:rPr>
                <w:rFonts w:ascii="宋体" w:hAnsi="宋体"/>
                <w:bCs/>
                <w:szCs w:val="21"/>
              </w:rPr>
            </w:pPr>
            <w:r>
              <w:rPr>
                <w:rFonts w:hint="eastAsia" w:ascii="宋体" w:hAnsi="宋体"/>
                <w:bCs/>
                <w:szCs w:val="21"/>
              </w:rPr>
              <w:t>一般情况下，应设置暂停与播放控制按钮，当动画时间较长时应设置进度拖动条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1288" w:type="dxa"/>
            <w:vMerge w:val="continue"/>
            <w:shd w:val="clear" w:color="auto" w:fill="auto"/>
            <w:vAlign w:val="center"/>
          </w:tcPr>
          <w:p>
            <w:pPr>
              <w:jc w:val="center"/>
              <w:rPr>
                <w:rFonts w:ascii="宋体" w:hAnsi="宋体"/>
                <w:b/>
                <w:bCs/>
                <w:szCs w:val="21"/>
              </w:rPr>
            </w:pPr>
          </w:p>
        </w:tc>
        <w:tc>
          <w:tcPr>
            <w:tcW w:w="6187" w:type="dxa"/>
            <w:tcBorders>
              <w:bottom w:val="single" w:color="auto" w:sz="2" w:space="0"/>
            </w:tcBorders>
            <w:shd w:val="clear" w:color="auto" w:fill="auto"/>
            <w:vAlign w:val="center"/>
          </w:tcPr>
          <w:p>
            <w:pPr>
              <w:rPr>
                <w:rFonts w:ascii="宋体" w:hAnsi="宋体"/>
                <w:bCs/>
                <w:szCs w:val="21"/>
              </w:rPr>
            </w:pPr>
            <w:r>
              <w:rPr>
                <w:rFonts w:hint="eastAsia" w:ascii="宋体" w:hAnsi="宋体"/>
                <w:bCs/>
                <w:szCs w:val="21"/>
              </w:rPr>
              <w:t>保持每个动画素材的独立性，尽量不设置两个或多个动画文件之间的嵌套及链接关系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1288" w:type="dxa"/>
            <w:vMerge w:val="continue"/>
            <w:tcBorders>
              <w:bottom w:val="single" w:color="auto" w:sz="2" w:space="0"/>
            </w:tcBorders>
            <w:shd w:val="clear" w:color="auto" w:fill="auto"/>
            <w:vAlign w:val="center"/>
          </w:tcPr>
          <w:p>
            <w:pPr>
              <w:jc w:val="center"/>
              <w:rPr>
                <w:rFonts w:ascii="宋体" w:hAnsi="宋体"/>
                <w:b/>
                <w:bCs/>
                <w:szCs w:val="21"/>
              </w:rPr>
            </w:pPr>
          </w:p>
        </w:tc>
        <w:tc>
          <w:tcPr>
            <w:tcW w:w="6187" w:type="dxa"/>
            <w:tcBorders>
              <w:bottom w:val="single" w:color="auto" w:sz="2" w:space="0"/>
            </w:tcBorders>
            <w:shd w:val="clear" w:color="auto" w:fill="auto"/>
            <w:vAlign w:val="center"/>
          </w:tcPr>
          <w:p>
            <w:pPr>
              <w:rPr>
                <w:rFonts w:ascii="宋体" w:hAnsi="宋体"/>
                <w:bCs/>
                <w:szCs w:val="21"/>
              </w:rPr>
            </w:pPr>
            <w:r>
              <w:rPr>
                <w:rFonts w:hint="eastAsia" w:ascii="宋体" w:hAnsi="宋体"/>
                <w:bCs/>
                <w:szCs w:val="21"/>
              </w:rPr>
              <w:t>动画必须兼容Microsoft IE、Google Chrome、Mozilla Firefox浏览器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 w:hRule="atLeast"/>
          <w:jc w:val="center"/>
        </w:trPr>
        <w:tc>
          <w:tcPr>
            <w:tcW w:w="1288" w:type="dxa"/>
            <w:vMerge w:val="restart"/>
            <w:tcBorders>
              <w:top w:val="single" w:color="auto" w:sz="2" w:space="0"/>
            </w:tcBorders>
            <w:shd w:val="clear" w:color="auto" w:fill="auto"/>
            <w:vAlign w:val="center"/>
          </w:tcPr>
          <w:p>
            <w:pPr>
              <w:jc w:val="center"/>
              <w:rPr>
                <w:rFonts w:ascii="宋体" w:hAnsi="宋体"/>
                <w:b/>
                <w:bCs/>
                <w:szCs w:val="21"/>
              </w:rPr>
            </w:pPr>
            <w:r>
              <w:rPr>
                <w:rFonts w:hint="eastAsia" w:ascii="宋体" w:hAnsi="宋体"/>
                <w:b/>
                <w:bCs/>
                <w:szCs w:val="21"/>
              </w:rPr>
              <w:t>版权要求</w:t>
            </w:r>
          </w:p>
        </w:tc>
        <w:tc>
          <w:tcPr>
            <w:tcW w:w="6187" w:type="dxa"/>
            <w:tcBorders>
              <w:top w:val="single" w:color="auto" w:sz="2" w:space="0"/>
              <w:bottom w:val="single" w:color="auto" w:sz="2" w:space="0"/>
            </w:tcBorders>
            <w:shd w:val="clear" w:color="auto" w:fill="auto"/>
            <w:vAlign w:val="center"/>
          </w:tcPr>
          <w:p>
            <w:pPr>
              <w:rPr>
                <w:rFonts w:ascii="宋体" w:hAnsi="宋体"/>
                <w:bCs/>
                <w:szCs w:val="21"/>
              </w:rPr>
            </w:pPr>
            <w:r>
              <w:rPr>
                <w:rFonts w:hint="eastAsia" w:ascii="宋体" w:hAnsi="宋体"/>
                <w:bCs/>
                <w:szCs w:val="21"/>
              </w:rPr>
              <w:t>动画内容符合我国法律法规，尊重各民族的风俗习惯，版权不存在争议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 w:hRule="atLeast"/>
          <w:jc w:val="center"/>
        </w:trPr>
        <w:tc>
          <w:tcPr>
            <w:tcW w:w="1288" w:type="dxa"/>
            <w:vMerge w:val="continue"/>
            <w:shd w:val="clear" w:color="auto" w:fill="auto"/>
            <w:vAlign w:val="center"/>
          </w:tcPr>
          <w:p>
            <w:pPr>
              <w:rPr>
                <w:rFonts w:ascii="宋体" w:hAnsi="宋体"/>
                <w:bCs/>
                <w:szCs w:val="21"/>
              </w:rPr>
            </w:pPr>
          </w:p>
        </w:tc>
        <w:tc>
          <w:tcPr>
            <w:tcW w:w="6187" w:type="dxa"/>
            <w:tcBorders>
              <w:top w:val="single" w:color="auto" w:sz="2" w:space="0"/>
              <w:bottom w:val="single" w:color="auto" w:sz="2" w:space="0"/>
            </w:tcBorders>
            <w:shd w:val="clear" w:color="auto" w:fill="auto"/>
          </w:tcPr>
          <w:p>
            <w:pPr>
              <w:rPr>
                <w:rFonts w:ascii="宋体" w:hAnsi="宋体"/>
                <w:bCs/>
                <w:szCs w:val="21"/>
              </w:rPr>
            </w:pPr>
            <w:r>
              <w:rPr>
                <w:rFonts w:hint="eastAsia" w:ascii="宋体" w:hAnsi="宋体"/>
                <w:bCs/>
                <w:szCs w:val="21"/>
              </w:rPr>
              <w:t>若其中包含少数民族或外国语言文字信息，应遵循其原内容完整性，使用原语言，并根据原语言进行字幕汉化处理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288" w:type="dxa"/>
            <w:vMerge w:val="continue"/>
            <w:shd w:val="clear" w:color="auto" w:fill="auto"/>
            <w:vAlign w:val="center"/>
          </w:tcPr>
          <w:p>
            <w:pPr>
              <w:rPr>
                <w:rFonts w:ascii="宋体" w:hAnsi="宋体"/>
                <w:bCs/>
                <w:szCs w:val="21"/>
              </w:rPr>
            </w:pPr>
          </w:p>
        </w:tc>
        <w:tc>
          <w:tcPr>
            <w:tcW w:w="6187" w:type="dxa"/>
            <w:tcBorders>
              <w:top w:val="single" w:color="auto" w:sz="2" w:space="0"/>
            </w:tcBorders>
            <w:shd w:val="clear" w:color="auto" w:fill="auto"/>
            <w:vAlign w:val="center"/>
          </w:tcPr>
          <w:p>
            <w:pPr>
              <w:rPr>
                <w:rFonts w:ascii="宋体" w:hAnsi="宋体"/>
                <w:bCs/>
                <w:szCs w:val="21"/>
              </w:rPr>
            </w:pPr>
            <w:r>
              <w:rPr>
                <w:rFonts w:hint="eastAsia" w:ascii="宋体" w:hAnsi="宋体"/>
                <w:bCs/>
                <w:szCs w:val="21"/>
              </w:rPr>
              <w:t>有明确的版权标识信息</w:t>
            </w:r>
          </w:p>
        </w:tc>
      </w:tr>
    </w:tbl>
    <w:p>
      <w:pPr>
        <w:spacing w:line="360" w:lineRule="auto"/>
        <w:ind w:firstLine="560" w:firstLineChars="200"/>
      </w:pPr>
      <w:bookmarkStart w:id="103" w:name="_Toc467916159"/>
      <w:bookmarkStart w:id="104" w:name="_Toc282863890"/>
      <w:bookmarkStart w:id="105" w:name="_Toc282863888"/>
    </w:p>
    <w:p>
      <w:pPr>
        <w:spacing w:line="360" w:lineRule="auto"/>
        <w:ind w:firstLine="560" w:firstLineChars="200"/>
      </w:pPr>
      <w:r>
        <w:rPr>
          <w:rFonts w:hint="eastAsia"/>
        </w:rPr>
        <w:t>1.6 PPT演示文稿</w:t>
      </w:r>
      <w:bookmarkEnd w:id="103"/>
      <w:bookmarkEnd w:id="104"/>
    </w:p>
    <w:p>
      <w:pPr>
        <w:spacing w:line="360" w:lineRule="auto"/>
        <w:ind w:firstLine="560" w:firstLineChars="200"/>
      </w:pPr>
      <w:r>
        <w:rPr>
          <w:rFonts w:hint="eastAsia"/>
        </w:rPr>
        <w:t>PPT演示文稿格式须为*.ppt</w:t>
      </w:r>
      <w:r>
        <w:t>或</w:t>
      </w:r>
      <w:r>
        <w:rPr>
          <w:rFonts w:hint="eastAsia"/>
        </w:rPr>
        <w:t>*.pptx，不可使用PPS格式。提交时必须提供原始文件，如果演示文稿中内嵌音频、视频或动画，将嵌入的每个素材以单个文件形式集中放在一个文件夹中。</w:t>
      </w:r>
    </w:p>
    <w:p>
      <w:pPr>
        <w:spacing w:line="360" w:lineRule="auto"/>
        <w:ind w:firstLine="560" w:firstLineChars="200"/>
      </w:pPr>
      <w:r>
        <w:rPr>
          <w:rFonts w:hint="eastAsia"/>
        </w:rPr>
        <w:t>PPT演示文稿的技术要求如下：</w:t>
      </w:r>
    </w:p>
    <w:p>
      <w:pPr>
        <w:jc w:val="center"/>
        <w:rPr>
          <w:b/>
          <w:szCs w:val="21"/>
        </w:rPr>
      </w:pPr>
      <w:r>
        <w:rPr>
          <w:rFonts w:hint="eastAsia"/>
          <w:b/>
          <w:szCs w:val="21"/>
        </w:rPr>
        <w:t>表6 PPT演示文稿技术要求</w:t>
      </w:r>
    </w:p>
    <w:tbl>
      <w:tblPr>
        <w:tblStyle w:val="17"/>
        <w:tblW w:w="7287"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15"/>
        <w:gridCol w:w="627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28" w:hRule="atLeast"/>
          <w:tblHeader/>
          <w:jc w:val="center"/>
        </w:trPr>
        <w:tc>
          <w:tcPr>
            <w:tcW w:w="7287" w:type="dxa"/>
            <w:gridSpan w:val="2"/>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hint="eastAsia" w:ascii="宋体" w:hAnsi="宋体"/>
                <w:b/>
                <w:bCs/>
                <w:szCs w:val="21"/>
              </w:rPr>
              <w:t>技术</w:t>
            </w:r>
            <w:r>
              <w:rPr>
                <w:rFonts w:ascii="宋体" w:hAnsi="宋体"/>
                <w:b/>
                <w:bCs/>
                <w:szCs w:val="21"/>
              </w:rPr>
              <w:t>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561" w:hRule="atLeast"/>
          <w:jc w:val="center"/>
        </w:trPr>
        <w:tc>
          <w:tcPr>
            <w:tcW w:w="1015" w:type="dxa"/>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ascii="宋体" w:hAnsi="宋体"/>
                <w:b/>
                <w:bCs/>
                <w:szCs w:val="21"/>
              </w:rPr>
              <w:t>软件版本</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vAlign w:val="center"/>
          </w:tcPr>
          <w:p>
            <w:pPr>
              <w:rPr>
                <w:rFonts w:ascii="宋体" w:hAnsi="宋体"/>
                <w:bCs/>
                <w:szCs w:val="21"/>
              </w:rPr>
            </w:pPr>
            <w:r>
              <w:rPr>
                <w:rFonts w:ascii="宋体" w:hAnsi="宋体"/>
                <w:bCs/>
                <w:szCs w:val="21"/>
              </w:rPr>
              <w:t>文件制作所用的软件版本不低于Microsoft Office 2003</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83" w:hRule="atLeast"/>
          <w:jc w:val="center"/>
        </w:trPr>
        <w:tc>
          <w:tcPr>
            <w:tcW w:w="1015" w:type="dxa"/>
            <w:vMerge w:val="restart"/>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ascii="宋体" w:hAnsi="宋体"/>
                <w:b/>
                <w:bCs/>
                <w:szCs w:val="21"/>
              </w:rPr>
              <w:t>模板应用</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模板朴素、大方，颜色适宜，</w:t>
            </w:r>
            <w:r>
              <w:rPr>
                <w:rFonts w:hint="eastAsia" w:ascii="宋体" w:hAnsi="宋体"/>
                <w:bCs/>
                <w:szCs w:val="21"/>
              </w:rPr>
              <w:t>可</w:t>
            </w:r>
            <w:r>
              <w:rPr>
                <w:rFonts w:ascii="宋体" w:hAnsi="宋体"/>
                <w:bCs/>
                <w:szCs w:val="21"/>
              </w:rPr>
              <w:t>长时间观看；在模板的适当位置标明课程名称、模块（章或节）序号与模块（章或节）的名称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57" w:hRule="atLeast"/>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多个页面均有的相同元素，如背景、按钮、标题、页码等，可以使用幻灯片母版来实现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restart"/>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ascii="宋体" w:hAnsi="宋体"/>
                <w:b/>
                <w:bCs/>
                <w:szCs w:val="21"/>
              </w:rPr>
              <w:t>版式设计</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每页版面的字数不宜太多。正文字号应不小于24磅字，使用Windows系统默认字体，不要使用仿宋、细圆等过细字体，不使用特殊字体，如有特殊字体，需要应转化为图形文件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文字要醒目，避免使用与背景色相近的字体颜色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页面行距建议为1.2倍，可适当增大，左右边距均匀、适当</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页面设计的原则是版面内容的分布美观大方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恰当使用组合：某些插图中位置相对固定的文本框、数学公式以及图片等应采用组合方式，避免产生相对位移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尽量避免不必要的组合，不同对象、文本的动作需要同时出现时，可确定彼此之间的时间间隔为0秒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各级标题采用不同的字体和颜色，一张幻灯片上文字颜色限定在4种以内，注意文字与背景色的反差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restart"/>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ascii="宋体" w:hAnsi="宋体"/>
                <w:b/>
                <w:bCs/>
                <w:szCs w:val="21"/>
              </w:rPr>
              <w:t>动画方案</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不宜出现不必要的动画效果，不使用随机效果</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动画连续，节奏合适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restart"/>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ascii="宋体" w:hAnsi="宋体"/>
                <w:b/>
                <w:bCs/>
                <w:szCs w:val="21"/>
              </w:rPr>
              <w:t>导航设计</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文件内链接都采用相对链接，并能够正常打开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pacing w:val="-8"/>
                <w:szCs w:val="21"/>
              </w:rPr>
            </w:pPr>
            <w:r>
              <w:rPr>
                <w:rFonts w:ascii="宋体" w:hAnsi="宋体"/>
                <w:bCs/>
                <w:spacing w:val="-8"/>
                <w:szCs w:val="21"/>
              </w:rPr>
              <w:t>文件中链接或插入的其他素材满足本要求中关于媒体素材的技术要求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使用超级链接时，要在目标页面有</w:t>
            </w:r>
            <w:r>
              <w:rPr>
                <w:rFonts w:hint="eastAsia" w:ascii="宋体" w:hAnsi="宋体"/>
                <w:bCs/>
                <w:szCs w:val="21"/>
              </w:rPr>
              <w:t>“</w:t>
            </w:r>
            <w:r>
              <w:rPr>
                <w:rFonts w:ascii="宋体" w:hAnsi="宋体"/>
                <w:bCs/>
                <w:szCs w:val="21"/>
              </w:rPr>
              <w:t>返回</w:t>
            </w:r>
            <w:r>
              <w:rPr>
                <w:rFonts w:hint="eastAsia" w:ascii="宋体" w:hAnsi="宋体"/>
                <w:bCs/>
                <w:szCs w:val="21"/>
              </w:rPr>
              <w:t>”</w:t>
            </w:r>
            <w:r>
              <w:rPr>
                <w:rFonts w:ascii="宋体" w:hAnsi="宋体"/>
                <w:bCs/>
                <w:szCs w:val="21"/>
              </w:rPr>
              <w:t>按钮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鼠标移至按钮上时要求显示出该按钮的操作提示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vMerge w:val="continue"/>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不同位置使用的导航按钮保持风格一致或使用相同的按钮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tcBorders>
              <w:top w:val="outset" w:color="auto" w:sz="6" w:space="0"/>
              <w:left w:val="outset" w:color="auto" w:sz="6" w:space="0"/>
              <w:bottom w:val="outset" w:color="auto" w:sz="6" w:space="0"/>
              <w:right w:val="outset" w:color="auto" w:sz="6" w:space="0"/>
            </w:tcBorders>
            <w:tcMar>
              <w:left w:w="57" w:type="dxa"/>
              <w:right w:w="57" w:type="dxa"/>
            </w:tcMar>
          </w:tcPr>
          <w:p>
            <w:pPr>
              <w:jc w:val="center"/>
              <w:rPr>
                <w:rFonts w:ascii="宋体" w:hAnsi="宋体"/>
                <w:b/>
                <w:bCs/>
                <w:szCs w:val="21"/>
              </w:rPr>
            </w:pPr>
            <w:r>
              <w:rPr>
                <w:rFonts w:ascii="宋体" w:hAnsi="宋体"/>
                <w:b/>
                <w:bCs/>
                <w:szCs w:val="21"/>
              </w:rPr>
              <w:t>宏</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ascii="宋体" w:hAnsi="宋体"/>
                <w:bCs/>
                <w:szCs w:val="21"/>
              </w:rPr>
              <w:t>尽可能少用宏，播放时不要出现宏脚本提示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015" w:type="dxa"/>
            <w:tcBorders>
              <w:top w:val="outset" w:color="auto" w:sz="6" w:space="0"/>
              <w:left w:val="outset" w:color="auto" w:sz="6" w:space="0"/>
              <w:bottom w:val="outset" w:color="auto" w:sz="6" w:space="0"/>
              <w:right w:val="outset" w:color="auto" w:sz="6" w:space="0"/>
            </w:tcBorders>
            <w:tcMar>
              <w:left w:w="57" w:type="dxa"/>
              <w:right w:w="57" w:type="dxa"/>
            </w:tcMar>
            <w:vAlign w:val="center"/>
          </w:tcPr>
          <w:p>
            <w:pPr>
              <w:jc w:val="center"/>
              <w:rPr>
                <w:rFonts w:ascii="宋体" w:hAnsi="宋体"/>
                <w:b/>
                <w:bCs/>
                <w:szCs w:val="21"/>
              </w:rPr>
            </w:pPr>
            <w:r>
              <w:rPr>
                <w:rFonts w:hint="eastAsia" w:ascii="宋体" w:hAnsi="宋体"/>
                <w:b/>
                <w:bCs/>
                <w:szCs w:val="21"/>
              </w:rPr>
              <w:t>其他</w:t>
            </w:r>
          </w:p>
        </w:tc>
        <w:tc>
          <w:tcPr>
            <w:tcW w:w="6272" w:type="dxa"/>
            <w:tcBorders>
              <w:top w:val="outset" w:color="auto" w:sz="6" w:space="0"/>
              <w:left w:val="outset" w:color="auto" w:sz="6" w:space="0"/>
              <w:bottom w:val="outset" w:color="auto" w:sz="6" w:space="0"/>
              <w:right w:val="outset" w:color="auto" w:sz="6" w:space="0"/>
            </w:tcBorders>
            <w:tcMar>
              <w:left w:w="57" w:type="dxa"/>
              <w:right w:w="57" w:type="dxa"/>
            </w:tcMar>
          </w:tcPr>
          <w:p>
            <w:pPr>
              <w:rPr>
                <w:rFonts w:ascii="宋体" w:hAnsi="宋体"/>
                <w:bCs/>
                <w:szCs w:val="21"/>
              </w:rPr>
            </w:pPr>
            <w:r>
              <w:rPr>
                <w:rFonts w:hint="eastAsia" w:ascii="宋体" w:hAnsi="宋体"/>
                <w:bCs/>
                <w:szCs w:val="21"/>
              </w:rPr>
              <w:t>演示文稿中所采用的媒体素材符合本标准中媒体素材资源的技术规范</w:t>
            </w:r>
          </w:p>
        </w:tc>
      </w:tr>
      <w:bookmarkEnd w:id="105"/>
    </w:tbl>
    <w:p>
      <w:pPr>
        <w:spacing w:line="360" w:lineRule="auto"/>
        <w:ind w:firstLine="560" w:firstLineChars="200"/>
        <w:rPr>
          <w:rFonts w:ascii="宋体" w:hAnsi="宋体"/>
        </w:rPr>
      </w:pPr>
      <w:bookmarkStart w:id="106" w:name="_Toc467916162"/>
      <w:bookmarkStart w:id="107" w:name="_Toc282863889"/>
      <w:r>
        <w:rPr>
          <w:rFonts w:hint="eastAsia" w:ascii="宋体" w:hAnsi="宋体"/>
        </w:rPr>
        <w:t>1.6其他素材</w:t>
      </w:r>
      <w:bookmarkEnd w:id="106"/>
    </w:p>
    <w:p>
      <w:pPr>
        <w:spacing w:line="360" w:lineRule="auto"/>
        <w:ind w:firstLine="560" w:firstLineChars="200"/>
        <w:rPr>
          <w:rFonts w:ascii="宋体" w:hAnsi="宋体"/>
        </w:rPr>
      </w:pPr>
      <w:r>
        <w:rPr>
          <w:rFonts w:ascii="宋体" w:hAnsi="宋体"/>
        </w:rPr>
        <w:t>其他素材是指</w:t>
      </w:r>
      <w:r>
        <w:rPr>
          <w:rFonts w:hint="eastAsia" w:ascii="宋体" w:hAnsi="宋体"/>
        </w:rPr>
        <w:t>wrl、lcs、wmf、dwg、chm等格式的素材，限于使用环境，若确定作为一类素材入库的话，请在提交每个下载用素材的同时再提交一个预览文件（文本pdf格式、图片jpg格式、动画或视频flv格式）。</w:t>
      </w:r>
    </w:p>
    <w:p>
      <w:pPr>
        <w:rPr>
          <w:rFonts w:ascii="华文宋体" w:hAnsi="华文宋体" w:eastAsia="华文宋体"/>
          <w:szCs w:val="21"/>
        </w:rPr>
      </w:pPr>
      <w:r>
        <w:rPr>
          <w:rFonts w:hint="eastAsia" w:ascii="宋体" w:hAnsi="宋体"/>
        </w:rPr>
        <w:t>非单个文件素材包如zip、rar等资源文件，在提供下载文件的同时，还必须提交能以单个文件呈现的预览文件（文本pdf格式、图片jpg格式、动画或视频flv格式）。</w:t>
      </w:r>
      <w:bookmarkEnd w:id="107"/>
    </w:p>
    <w:p>
      <w:pPr>
        <w:spacing w:line="360" w:lineRule="auto"/>
        <w:jc w:val="both"/>
        <w:rPr>
          <w:rFonts w:hint="eastAsia" w:ascii="仿宋_GB2312" w:hAnsi="仿宋_GB2312" w:eastAsia="仿宋_GB2312" w:cs="仿宋_GB2312"/>
          <w:sz w:val="28"/>
          <w:szCs w:val="28"/>
        </w:rPr>
      </w:pPr>
    </w:p>
    <w:bookmarkEnd w:id="20"/>
    <w:bookmarkEnd w:id="21"/>
    <w:bookmarkEnd w:id="22"/>
    <w:bookmarkEnd w:id="23"/>
    <w:bookmarkEnd w:id="24"/>
    <w:bookmarkEnd w:id="64"/>
    <w:p>
      <w:pPr>
        <w:pStyle w:val="2"/>
        <w:jc w:val="center"/>
        <w:rPr>
          <w:rFonts w:hint="eastAsia" w:cs="宋体" w:asciiTheme="minorEastAsia" w:hAnsiTheme="minorEastAsia" w:eastAsiaTheme="minorEastAsia"/>
          <w:sz w:val="36"/>
          <w:szCs w:val="36"/>
        </w:rPr>
      </w:pPr>
      <w:bookmarkStart w:id="108" w:name="_Toc8848"/>
      <w:bookmarkStart w:id="109" w:name="_Toc403987220"/>
      <w:r>
        <w:rPr>
          <w:rFonts w:hint="eastAsia" w:cs="宋体" w:asciiTheme="minorEastAsia" w:hAnsiTheme="minorEastAsia" w:eastAsiaTheme="minorEastAsia"/>
          <w:sz w:val="36"/>
          <w:szCs w:val="36"/>
        </w:rPr>
        <w:t>第六章  响应文件格式</w:t>
      </w:r>
      <w:bookmarkEnd w:id="108"/>
      <w:bookmarkEnd w:id="109"/>
    </w:p>
    <w:p>
      <w:pPr>
        <w:pStyle w:val="2"/>
        <w:jc w:val="center"/>
        <w:rPr>
          <w:rFonts w:hint="eastAsia" w:cs="宋体" w:asciiTheme="minorEastAsia" w:hAnsiTheme="minorEastAsia" w:eastAsiaTheme="minorEastAsia"/>
          <w:sz w:val="36"/>
          <w:szCs w:val="36"/>
        </w:rPr>
      </w:pPr>
      <w:bookmarkStart w:id="110" w:name="_Hlt26955039"/>
      <w:bookmarkEnd w:id="110"/>
      <w:bookmarkStart w:id="111" w:name="_Hlt26671244"/>
      <w:bookmarkEnd w:id="111"/>
      <w:bookmarkStart w:id="112" w:name="_Toc49090576"/>
      <w:bookmarkStart w:id="113" w:name="_Toc120614282"/>
      <w:bookmarkStart w:id="114" w:name="_Toc26554094"/>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响 应 文 件</w:t>
      </w: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名 称：</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编 号：</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lang w:eastAsia="zh-CN"/>
        </w:rPr>
        <w:t>响应商</w:t>
      </w:r>
      <w:r>
        <w:rPr>
          <w:rFonts w:hint="eastAsia" w:cs="宋体" w:asciiTheme="minorEastAsia" w:hAnsiTheme="minorEastAsia" w:eastAsiaTheme="minorEastAsia"/>
          <w:sz w:val="36"/>
          <w:szCs w:val="36"/>
        </w:rPr>
        <w:t>名称 ：</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日      期 ：</w:t>
      </w:r>
    </w:p>
    <w:bookmarkEnd w:id="25"/>
    <w:bookmarkEnd w:id="26"/>
    <w:bookmarkEnd w:id="112"/>
    <w:bookmarkEnd w:id="113"/>
    <w:bookmarkEnd w:id="114"/>
    <w:p>
      <w:pPr>
        <w:pStyle w:val="2"/>
        <w:jc w:val="center"/>
        <w:rPr>
          <w:rStyle w:val="22"/>
          <w:rFonts w:hint="eastAsia" w:ascii="仿宋_GB2312" w:hAnsi="仿宋_GB2312" w:eastAsia="仿宋_GB2312" w:cs="仿宋_GB2312"/>
          <w:b/>
          <w:bCs/>
          <w:color w:val="auto"/>
          <w:sz w:val="28"/>
          <w:szCs w:val="28"/>
        </w:rPr>
      </w:pPr>
      <w:r>
        <w:rPr>
          <w:rFonts w:hint="eastAsia" w:cs="宋体" w:asciiTheme="minorEastAsia" w:hAnsiTheme="minorEastAsia" w:eastAsiaTheme="minorEastAsia"/>
          <w:sz w:val="36"/>
          <w:szCs w:val="36"/>
        </w:rPr>
        <w:br w:type="page"/>
      </w:r>
      <w:r>
        <w:rPr>
          <w:rStyle w:val="22"/>
          <w:rFonts w:hint="eastAsia" w:ascii="仿宋_GB2312" w:hAnsi="仿宋_GB2312" w:eastAsia="仿宋_GB2312" w:cs="仿宋_GB2312"/>
          <w:b/>
          <w:bCs/>
          <w:color w:val="auto"/>
          <w:sz w:val="28"/>
          <w:szCs w:val="28"/>
        </w:rPr>
        <w:t>资格性和符合性检查响应对照表</w:t>
      </w:r>
    </w:p>
    <w:p>
      <w:pPr>
        <w:ind w:firstLine="309"/>
        <w:jc w:val="both"/>
        <w:rPr>
          <w:rFonts w:hint="eastAsia" w:ascii="仿宋_GB2312" w:hAnsi="仿宋_GB2312" w:eastAsia="仿宋_GB2312" w:cs="仿宋_GB2312"/>
          <w:sz w:val="28"/>
          <w:szCs w:val="28"/>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5386"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资格和符合性检查响应内容</w:t>
            </w:r>
          </w:p>
        </w:tc>
        <w:tc>
          <w:tcPr>
            <w:tcW w:w="1701"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是否响应</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（填是或者否）</w:t>
            </w:r>
          </w:p>
        </w:tc>
        <w:tc>
          <w:tcPr>
            <w:tcW w:w="1559"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响应文件中的</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1</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营业执照（复印件，加盖公章）</w:t>
            </w:r>
          </w:p>
        </w:tc>
        <w:tc>
          <w:tcPr>
            <w:tcW w:w="1701" w:type="dxa"/>
            <w:vAlign w:val="center"/>
          </w:tcPr>
          <w:p>
            <w:pPr>
              <w:jc w:val="both"/>
              <w:rPr>
                <w:rFonts w:hint="eastAsia" w:ascii="仿宋_GB2312" w:hAnsi="仿宋_GB2312" w:eastAsia="仿宋_GB2312" w:cs="仿宋_GB2312"/>
                <w:b/>
                <w:sz w:val="28"/>
                <w:szCs w:val="28"/>
              </w:rPr>
            </w:pPr>
          </w:p>
        </w:tc>
        <w:tc>
          <w:tcPr>
            <w:tcW w:w="1559" w:type="dxa"/>
            <w:vAlign w:val="center"/>
          </w:tcPr>
          <w:p>
            <w:pPr>
              <w:jc w:val="both"/>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2</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法人授权书（原件，非法定代表人参与磋商时必须提供）</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3</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财务状况报告（复印件加盖公章）</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4</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履行合同所必需的设备和专业技术能力（请提供证明材料）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5</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依法缴纳税收和社会保障资金的良好记录（请提供依法缴纳税收和社会保障资金的相关材料）；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6</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参加政府采购活动前3年内在经营活动中没有重大违法记录的书面声明</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7</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竞争性磋商文件中的其他实质性要求</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bl>
    <w:p>
      <w:pPr>
        <w:jc w:val="both"/>
        <w:rPr>
          <w:rFonts w:hint="eastAsia" w:ascii="仿宋_GB2312" w:hAnsi="仿宋_GB2312" w:eastAsia="仿宋_GB2312" w:cs="仿宋_GB2312"/>
          <w:b/>
          <w:sz w:val="28"/>
          <w:szCs w:val="28"/>
        </w:rPr>
      </w:pPr>
    </w:p>
    <w:p>
      <w:pPr>
        <w:ind w:firstLine="309"/>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全称（加盖公章）：</w:t>
      </w:r>
    </w:p>
    <w:p>
      <w:pPr>
        <w:widowControl/>
        <w:adjustRightInd/>
        <w:spacing w:line="240" w:lineRule="auto"/>
        <w:jc w:val="both"/>
        <w:textAlignment w:val="auto"/>
        <w:rPr>
          <w:rFonts w:hint="eastAsia" w:ascii="仿宋_GB2312" w:hAnsi="仿宋_GB2312" w:eastAsia="仿宋_GB2312" w:cs="仿宋_GB2312"/>
          <w:b/>
          <w:sz w:val="28"/>
          <w:szCs w:val="28"/>
        </w:rPr>
      </w:pPr>
    </w:p>
    <w:p>
      <w:pPr>
        <w:widowControl/>
        <w:adjustRightInd/>
        <w:spacing w:line="240" w:lineRule="auto"/>
        <w:jc w:val="both"/>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评分索引表</w:t>
      </w:r>
    </w:p>
    <w:tbl>
      <w:tblPr>
        <w:tblStyle w:val="17"/>
        <w:tblW w:w="92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850"/>
        <w:gridCol w:w="825"/>
        <w:gridCol w:w="7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序号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评分项目</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b/>
                <w:szCs w:val="21"/>
              </w:rPr>
            </w:pPr>
            <w:r>
              <w:rPr>
                <w:rFonts w:hint="eastAsia" w:ascii="宋体" w:hAnsi="宋体" w:cs="宋体"/>
                <w:b/>
                <w:szCs w:val="21"/>
              </w:rPr>
              <w:t>分值</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ascii="宋体" w:hAnsi="宋体" w:cs="宋体"/>
                <w:b/>
                <w:szCs w:val="21"/>
              </w:rPr>
              <w:t>评分要点及说明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一</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hint="eastAsia" w:ascii="宋体" w:hAnsi="宋体" w:cs="宋体"/>
                <w:szCs w:val="21"/>
              </w:rPr>
            </w:pPr>
            <w:r>
              <w:rPr>
                <w:rFonts w:hint="eastAsia" w:ascii="宋体" w:hAnsi="宋体" w:cs="宋体"/>
                <w:szCs w:val="21"/>
              </w:rPr>
              <w:t>投标价格</w:t>
            </w:r>
          </w:p>
          <w:p>
            <w:pPr>
              <w:adjustRightInd w:val="0"/>
              <w:snapToGrid w:val="0"/>
              <w:spacing w:line="360" w:lineRule="auto"/>
              <w:rPr>
                <w:rFonts w:hint="eastAsia" w:ascii="宋体" w:hAnsi="宋体" w:cs="宋体"/>
                <w:szCs w:val="21"/>
                <w:lang w:val="en-US" w:eastAsia="zh-CN"/>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hint="eastAsia" w:ascii="宋体" w:hAnsi="宋体" w:cs="宋体"/>
                <w:szCs w:val="21"/>
                <w:lang w:val="en-US" w:eastAsia="zh-CN"/>
              </w:rPr>
            </w:pPr>
            <w:r>
              <w:rPr>
                <w:rFonts w:hint="eastAsia" w:ascii="宋体" w:hAnsi="宋体" w:cs="宋体"/>
                <w:szCs w:val="21"/>
                <w:lang w:val="en-US" w:eastAsia="zh-CN"/>
              </w:rPr>
              <w:t>30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确定</w:t>
            </w:r>
            <w:r>
              <w:rPr>
                <w:rFonts w:hint="eastAsia" w:hAnsi="宋体" w:cs="宋体"/>
                <w:szCs w:val="21"/>
                <w:lang w:eastAsia="zh-CN"/>
              </w:rPr>
              <w:t>磋商</w:t>
            </w:r>
            <w:r>
              <w:rPr>
                <w:rFonts w:hint="eastAsia" w:ascii="宋体" w:hAnsi="宋体" w:cs="宋体"/>
                <w:szCs w:val="21"/>
              </w:rPr>
              <w:t>基准价：满足</w:t>
            </w:r>
            <w:r>
              <w:rPr>
                <w:rFonts w:hint="eastAsia" w:ascii="宋体" w:hAnsi="宋体" w:cs="宋体"/>
                <w:szCs w:val="21"/>
                <w:lang w:eastAsia="zh-CN"/>
              </w:rPr>
              <w:t>磋商文件</w:t>
            </w:r>
            <w:r>
              <w:rPr>
                <w:rFonts w:hint="eastAsia" w:ascii="宋体" w:hAnsi="宋体" w:cs="宋体"/>
                <w:szCs w:val="21"/>
              </w:rPr>
              <w:t>要求且价格最低的报价为</w:t>
            </w:r>
            <w:r>
              <w:rPr>
                <w:rFonts w:hint="eastAsia" w:ascii="宋体" w:hAnsi="宋体" w:cs="宋体"/>
                <w:szCs w:val="21"/>
                <w:lang w:eastAsia="zh-CN"/>
              </w:rPr>
              <w:t>磋商</w:t>
            </w:r>
            <w:r>
              <w:rPr>
                <w:rFonts w:hint="eastAsia" w:ascii="宋体" w:hAnsi="宋体" w:cs="宋体"/>
                <w:szCs w:val="21"/>
              </w:rPr>
              <w:t>基准价，其价格分为满分。其他</w:t>
            </w:r>
            <w:r>
              <w:rPr>
                <w:rFonts w:hint="eastAsia" w:ascii="宋体" w:hAnsi="宋体" w:cs="宋体"/>
                <w:szCs w:val="21"/>
                <w:lang w:eastAsia="zh-CN"/>
              </w:rPr>
              <w:t>响应商</w:t>
            </w:r>
            <w:r>
              <w:rPr>
                <w:rFonts w:hint="eastAsia" w:ascii="宋体" w:hAnsi="宋体" w:cs="宋体"/>
                <w:szCs w:val="21"/>
              </w:rPr>
              <w:t>的价格分则按照下列公式：</w:t>
            </w:r>
          </w:p>
          <w:p>
            <w:pPr>
              <w:adjustRightInd w:val="0"/>
              <w:snapToGrid w:val="0"/>
              <w:spacing w:line="360" w:lineRule="auto"/>
              <w:rPr>
                <w:rFonts w:ascii="宋体" w:hAnsi="宋体" w:cs="宋体"/>
                <w:szCs w:val="21"/>
              </w:rPr>
            </w:pPr>
            <w:r>
              <w:rPr>
                <w:rFonts w:hint="eastAsia" w:ascii="宋体" w:hAnsi="宋体" w:cs="宋体"/>
                <w:szCs w:val="21"/>
              </w:rPr>
              <w:t>价格分=（</w:t>
            </w:r>
            <w:r>
              <w:rPr>
                <w:rFonts w:hint="eastAsia" w:hAnsi="宋体" w:cs="宋体"/>
                <w:szCs w:val="21"/>
                <w:lang w:eastAsia="zh-CN"/>
              </w:rPr>
              <w:t>磋商</w:t>
            </w:r>
            <w:r>
              <w:rPr>
                <w:rFonts w:hint="eastAsia" w:ascii="宋体" w:hAnsi="宋体" w:cs="宋体"/>
                <w:szCs w:val="21"/>
              </w:rPr>
              <w:t>基准价/投标报价）×</w:t>
            </w:r>
            <w:r>
              <w:rPr>
                <w:rFonts w:hint="eastAsia" w:hAnsi="宋体" w:cs="宋体"/>
                <w:szCs w:val="21"/>
                <w:lang w:val="en-US" w:eastAsia="zh-CN"/>
              </w:rPr>
              <w:t>3</w:t>
            </w:r>
            <w:r>
              <w:rPr>
                <w:rFonts w:hint="eastAsia" w:ascii="宋体" w:hAnsi="宋体" w:cs="宋体"/>
                <w:szCs w:val="21"/>
              </w:rPr>
              <w:t>0（计算得分保留小数点后2位）。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二</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资信及商务（1</w:t>
            </w:r>
            <w:r>
              <w:rPr>
                <w:rFonts w:hint="eastAsia" w:hAnsi="宋体" w:cs="宋体"/>
                <w:szCs w:val="21"/>
                <w:lang w:val="en-US" w:eastAsia="zh-CN"/>
              </w:rPr>
              <w:t>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2</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left"/>
              <w:rPr>
                <w:rFonts w:ascii="宋体" w:hAnsi="宋体" w:cs="宋体"/>
                <w:b/>
                <w:szCs w:val="21"/>
              </w:rPr>
            </w:pPr>
            <w:r>
              <w:rPr>
                <w:rFonts w:hint="eastAsia" w:ascii="宋体" w:hAnsi="宋体" w:cs="宋体"/>
                <w:b/>
                <w:szCs w:val="21"/>
              </w:rPr>
              <w:t>售后服务评价（满分</w:t>
            </w:r>
            <w:r>
              <w:rPr>
                <w:rFonts w:ascii="宋体" w:hAnsi="宋体" w:cs="宋体"/>
                <w:b/>
                <w:szCs w:val="21"/>
              </w:rPr>
              <w:t>2</w:t>
            </w:r>
            <w:r>
              <w:rPr>
                <w:rFonts w:hint="eastAsia" w:ascii="宋体" w:hAnsi="宋体" w:cs="宋体"/>
                <w:b/>
                <w:szCs w:val="21"/>
              </w:rPr>
              <w:t>分）；</w:t>
            </w:r>
          </w:p>
          <w:p>
            <w:pPr>
              <w:adjustRightInd w:val="0"/>
              <w:snapToGrid w:val="0"/>
              <w:spacing w:line="360" w:lineRule="auto"/>
              <w:jc w:val="left"/>
              <w:rPr>
                <w:rFonts w:ascii="宋体" w:hAnsi="宋体" w:cs="宋体"/>
                <w:szCs w:val="21"/>
              </w:rPr>
            </w:pPr>
            <w:r>
              <w:rPr>
                <w:rFonts w:hint="eastAsia" w:hAnsi="宋体" w:cs="宋体"/>
                <w:szCs w:val="21"/>
                <w:lang w:eastAsia="zh-CN"/>
              </w:rPr>
              <w:t>响应文件</w:t>
            </w:r>
            <w:r>
              <w:rPr>
                <w:rFonts w:hint="eastAsia" w:ascii="宋体" w:hAnsi="宋体" w:cs="宋体"/>
                <w:szCs w:val="21"/>
              </w:rPr>
              <w:t>中需提供质保期承诺书，以及售后服务计划，</w:t>
            </w:r>
            <w:r>
              <w:rPr>
                <w:rFonts w:hint="eastAsia" w:ascii="宋体" w:hAnsi="宋体" w:cs="宋体"/>
              </w:rPr>
              <w:t>比较各</w:t>
            </w:r>
            <w:r>
              <w:rPr>
                <w:rFonts w:hint="eastAsia" w:hAnsi="宋体" w:cs="宋体"/>
                <w:lang w:eastAsia="zh-CN"/>
              </w:rPr>
              <w:t>响应商</w:t>
            </w:r>
            <w:r>
              <w:rPr>
                <w:rFonts w:hint="eastAsia" w:ascii="宋体" w:hAnsi="宋体" w:cs="宋体"/>
              </w:rPr>
              <w:t>所提供的</w:t>
            </w:r>
            <w:r>
              <w:rPr>
                <w:rFonts w:hint="eastAsia" w:ascii="宋体" w:hAnsi="宋体" w:cs="宋体"/>
                <w:szCs w:val="21"/>
              </w:rPr>
              <w:t>售后服务</w:t>
            </w:r>
            <w:r>
              <w:rPr>
                <w:rFonts w:hint="eastAsia" w:ascii="宋体" w:hAnsi="宋体" w:cs="宋体"/>
              </w:rPr>
              <w:t>措施方案的针对性及合理性，合理的给</w:t>
            </w:r>
            <w:r>
              <w:rPr>
                <w:rFonts w:ascii="宋体" w:hAnsi="宋体" w:cs="宋体"/>
              </w:rPr>
              <w:t>2</w:t>
            </w:r>
            <w:r>
              <w:rPr>
                <w:rFonts w:hint="eastAsia" w:ascii="宋体" w:hAnsi="宋体" w:cs="宋体"/>
              </w:rPr>
              <w:t>分，一般的得</w:t>
            </w:r>
            <w:r>
              <w:rPr>
                <w:rFonts w:ascii="宋体" w:hAnsi="宋体" w:cs="宋体"/>
              </w:rPr>
              <w:t>1</w:t>
            </w:r>
            <w:r>
              <w:rPr>
                <w:rFonts w:hint="eastAsia" w:ascii="宋体" w:hAnsi="宋体" w:cs="宋体"/>
              </w:rPr>
              <w:t>分，不合理的不给分。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1" w:hRule="atLeast"/>
          <w:jc w:val="center"/>
        </w:trPr>
        <w:tc>
          <w:tcPr>
            <w:tcW w:w="4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5</w:t>
            </w:r>
          </w:p>
        </w:tc>
        <w:tc>
          <w:tcPr>
            <w:tcW w:w="7128"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b/>
                <w:szCs w:val="21"/>
              </w:rPr>
            </w:pPr>
            <w:r>
              <w:rPr>
                <w:rFonts w:hint="eastAsia" w:hAnsi="宋体" w:cs="宋体"/>
                <w:b/>
                <w:szCs w:val="21"/>
                <w:lang w:eastAsia="zh-CN"/>
              </w:rPr>
              <w:t>响应商</w:t>
            </w:r>
            <w:r>
              <w:rPr>
                <w:rFonts w:hint="eastAsia" w:ascii="宋体" w:hAnsi="宋体" w:cs="宋体"/>
                <w:b/>
                <w:szCs w:val="21"/>
              </w:rPr>
              <w:t>微课资源库项目业绩（满分5分）；</w:t>
            </w:r>
          </w:p>
          <w:p>
            <w:pPr>
              <w:adjustRightInd w:val="0"/>
              <w:snapToGrid w:val="0"/>
              <w:spacing w:line="360" w:lineRule="auto"/>
              <w:rPr>
                <w:rFonts w:ascii="宋体" w:hAnsi="宋体" w:cs="宋体"/>
                <w:szCs w:val="21"/>
              </w:rPr>
            </w:pPr>
            <w:r>
              <w:rPr>
                <w:rFonts w:hint="eastAsia" w:ascii="宋体" w:hAnsi="宋体" w:cs="宋体"/>
                <w:szCs w:val="21"/>
              </w:rPr>
              <w:t>（1）近</w:t>
            </w:r>
            <w:r>
              <w:rPr>
                <w:rFonts w:ascii="宋体" w:hAnsi="宋体" w:cs="宋体"/>
                <w:szCs w:val="21"/>
              </w:rPr>
              <w:t>1</w:t>
            </w:r>
            <w:r>
              <w:rPr>
                <w:rFonts w:hint="eastAsia" w:ascii="宋体" w:hAnsi="宋体" w:cs="宋体"/>
                <w:szCs w:val="21"/>
              </w:rPr>
              <w:t>年内本项目产品业绩，金额达60万以上的项目，每个得1分，最高得2分；需提供相关合同，供货清单及验收证明；</w:t>
            </w:r>
          </w:p>
          <w:p>
            <w:pPr>
              <w:adjustRightInd w:val="0"/>
              <w:snapToGrid w:val="0"/>
              <w:spacing w:line="360" w:lineRule="auto"/>
              <w:rPr>
                <w:rFonts w:ascii="宋体" w:hAnsi="宋体" w:cs="宋体"/>
                <w:szCs w:val="21"/>
              </w:rPr>
            </w:pPr>
            <w:r>
              <w:rPr>
                <w:rFonts w:hint="eastAsia" w:ascii="宋体" w:hAnsi="宋体" w:cs="宋体"/>
                <w:szCs w:val="21"/>
              </w:rPr>
              <w:t>（2）参与过省级微课类精品资源库建设项目，并验收通过，提供相关证明材料，得3分；没有相关项目经验，不得分。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3</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360" w:lineRule="auto"/>
              <w:rPr>
                <w:rFonts w:ascii="宋体" w:hAnsi="宋体" w:cs="宋体"/>
                <w:b/>
                <w:szCs w:val="21"/>
              </w:rPr>
            </w:pPr>
            <w:r>
              <w:rPr>
                <w:rFonts w:hint="eastAsia" w:ascii="宋体" w:hAnsi="宋体" w:cs="宋体"/>
                <w:b/>
                <w:szCs w:val="21"/>
              </w:rPr>
              <w:t>知识产权证书（满分3分）；</w:t>
            </w:r>
          </w:p>
          <w:p>
            <w:pPr>
              <w:spacing w:after="0" w:line="360" w:lineRule="auto"/>
              <w:rPr>
                <w:rFonts w:ascii="宋体" w:hAnsi="宋体" w:cs="宋体"/>
                <w:szCs w:val="21"/>
              </w:rPr>
            </w:pPr>
            <w:r>
              <w:rPr>
                <w:rFonts w:hint="eastAsia" w:hAnsi="宋体" w:cs="宋体"/>
                <w:szCs w:val="21"/>
                <w:lang w:eastAsia="zh-CN"/>
              </w:rPr>
              <w:t>响应商</w:t>
            </w:r>
            <w:r>
              <w:rPr>
                <w:rFonts w:hint="eastAsia" w:ascii="宋体" w:hAnsi="宋体" w:cs="宋体"/>
                <w:szCs w:val="21"/>
              </w:rPr>
              <w:t>所投产品具备与微课内容相关的知识产权证书，并</w:t>
            </w:r>
            <w:r>
              <w:rPr>
                <w:rFonts w:ascii="宋体" w:hAnsi="宋体" w:cs="宋体"/>
                <w:szCs w:val="21"/>
              </w:rPr>
              <w:t>提供证书扫描件</w:t>
            </w:r>
            <w:r>
              <w:rPr>
                <w:rFonts w:hint="eastAsia" w:ascii="宋体" w:hAnsi="宋体" w:cs="宋体"/>
                <w:szCs w:val="21"/>
              </w:rPr>
              <w:t>，</w:t>
            </w:r>
            <w:r>
              <w:rPr>
                <w:rFonts w:ascii="宋体" w:hAnsi="宋体" w:cs="宋体"/>
                <w:szCs w:val="21"/>
              </w:rPr>
              <w:t>1个证书扫描件</w:t>
            </w:r>
            <w:r>
              <w:rPr>
                <w:rFonts w:hint="eastAsia" w:ascii="宋体" w:hAnsi="宋体" w:cs="宋体"/>
                <w:szCs w:val="21"/>
              </w:rPr>
              <w:t>1</w:t>
            </w:r>
            <w:r>
              <w:rPr>
                <w:rFonts w:ascii="宋体" w:hAnsi="宋体" w:cs="宋体"/>
                <w:szCs w:val="21"/>
              </w:rPr>
              <w:t>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三</w:t>
            </w:r>
          </w:p>
        </w:tc>
        <w:tc>
          <w:tcPr>
            <w:tcW w:w="850" w:type="dxa"/>
            <w:vMerge w:val="restart"/>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r>
              <w:rPr>
                <w:rFonts w:hint="eastAsia" w:ascii="宋体" w:hAnsi="宋体" w:cs="宋体"/>
                <w:szCs w:val="21"/>
              </w:rPr>
              <w:t>技术方案</w:t>
            </w:r>
          </w:p>
          <w:p>
            <w:pPr>
              <w:adjustRightInd w:val="0"/>
              <w:snapToGrid w:val="0"/>
              <w:spacing w:line="360" w:lineRule="auto"/>
              <w:rPr>
                <w:rFonts w:ascii="宋体" w:hAnsi="宋体" w:cs="宋体"/>
                <w:szCs w:val="21"/>
              </w:rPr>
            </w:pPr>
            <w:r>
              <w:rPr>
                <w:rFonts w:hint="eastAsia" w:ascii="宋体" w:hAnsi="宋体" w:cs="宋体"/>
                <w:szCs w:val="21"/>
              </w:rPr>
              <w:t>（6</w:t>
            </w:r>
            <w:r>
              <w:rPr>
                <w:rFonts w:hint="eastAsia" w:hAnsi="宋体" w:cs="宋体"/>
                <w:szCs w:val="21"/>
                <w:lang w:val="en-US" w:eastAsia="zh-CN"/>
              </w:rPr>
              <w:t>0</w:t>
            </w:r>
            <w:r>
              <w:rPr>
                <w:rFonts w:hint="eastAsia" w:ascii="宋体" w:hAnsi="宋体" w:cs="宋体"/>
                <w:szCs w:val="21"/>
              </w:rPr>
              <w:t>分）</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rPr>
                <w:rFonts w:ascii="宋体" w:hAnsi="宋体" w:cs="宋体"/>
                <w:b/>
                <w:szCs w:val="21"/>
                <w:lang w:val="zh-CN"/>
              </w:rPr>
            </w:pPr>
            <w:r>
              <w:rPr>
                <w:rFonts w:hint="eastAsia" w:ascii="宋体" w:hAnsi="宋体" w:cs="宋体"/>
                <w:b/>
                <w:szCs w:val="21"/>
                <w:lang w:val="zh-CN"/>
              </w:rPr>
              <w:t>教学动画参数响应情况 (满分10分)</w:t>
            </w:r>
          </w:p>
          <w:p>
            <w:pPr>
              <w:adjustRightInd w:val="0"/>
              <w:snapToGrid w:val="0"/>
              <w:spacing w:line="360" w:lineRule="auto"/>
              <w:jc w:val="left"/>
              <w:rPr>
                <w:rFonts w:ascii="宋体" w:hAnsi="宋体" w:cs="宋体"/>
                <w:szCs w:val="21"/>
                <w:lang w:val="zh-CN"/>
              </w:rPr>
            </w:pPr>
            <w:r>
              <w:rPr>
                <w:rFonts w:hint="eastAsia" w:ascii="宋体" w:hAnsi="宋体" w:cs="宋体"/>
                <w:szCs w:val="21"/>
                <w:lang w:val="zh-CN"/>
              </w:rPr>
              <w:t>各</w:t>
            </w:r>
            <w:r>
              <w:rPr>
                <w:rFonts w:hint="eastAsia" w:hAnsi="宋体" w:cs="宋体"/>
                <w:szCs w:val="21"/>
                <w:lang w:val="zh-CN"/>
              </w:rPr>
              <w:t>响应商</w:t>
            </w:r>
            <w:r>
              <w:rPr>
                <w:rFonts w:hint="eastAsia" w:ascii="宋体" w:hAnsi="宋体" w:cs="宋体"/>
                <w:szCs w:val="21"/>
                <w:lang w:val="zh-CN"/>
              </w:rPr>
              <w:t>对招标参数中要求的所有教学单元的教学动画课程提供课程清单，课程清单的数量与资源建设项目表中要求的资源数量保持一致，所有动画/视频/微课的资源内容需提供课程界面截图（每个资源至少2张），</w:t>
            </w:r>
            <w:r>
              <w:rPr>
                <w:rFonts w:hint="eastAsia" w:hAnsi="宋体" w:cs="宋体"/>
                <w:szCs w:val="21"/>
                <w:lang w:val="zh-CN"/>
              </w:rPr>
              <w:t>磋商</w:t>
            </w:r>
            <w:r>
              <w:rPr>
                <w:rFonts w:hint="eastAsia" w:ascii="宋体" w:hAnsi="宋体" w:cs="宋体"/>
                <w:szCs w:val="21"/>
                <w:lang w:val="zh-CN"/>
              </w:rPr>
              <w:t>人对教学动画课程清单的响应情况进行评价：</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1）</w:t>
            </w:r>
            <w:r>
              <w:rPr>
                <w:rFonts w:hint="eastAsia" w:ascii="宋体" w:hAnsi="宋体" w:cs="宋体"/>
                <w:szCs w:val="21"/>
              </w:rPr>
              <w:t>所有微课资源必须为原创高清作品，微课资源截图必须有制造商logo，从网络截取等渠道作品将导致严重扣分。</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2）</w:t>
            </w:r>
            <w:r>
              <w:rPr>
                <w:rFonts w:hint="eastAsia" w:ascii="宋体" w:hAnsi="宋体" w:cs="宋体"/>
                <w:szCs w:val="21"/>
                <w:lang w:val="zh-CN"/>
              </w:rPr>
              <w:t>课程清单合理，与需求匹配，动画课程清单与动画课程截图吻合。</w:t>
            </w:r>
          </w:p>
          <w:p>
            <w:pPr>
              <w:pStyle w:val="30"/>
              <w:numPr>
                <w:ilvl w:val="0"/>
                <w:numId w:val="0"/>
              </w:numPr>
              <w:adjustRightInd w:val="0"/>
              <w:snapToGrid w:val="0"/>
              <w:spacing w:line="360" w:lineRule="auto"/>
              <w:jc w:val="left"/>
              <w:rPr>
                <w:rFonts w:ascii="宋体" w:hAnsi="宋体" w:cs="宋体"/>
                <w:szCs w:val="21"/>
              </w:rPr>
            </w:pPr>
            <w:r>
              <w:rPr>
                <w:rFonts w:hint="eastAsia" w:hAnsi="宋体" w:cs="宋体"/>
                <w:szCs w:val="21"/>
                <w:lang w:val="en-US" w:eastAsia="zh-CN"/>
              </w:rPr>
              <w:t>3）</w:t>
            </w:r>
            <w:r>
              <w:rPr>
                <w:rFonts w:hint="eastAsia" w:ascii="宋体" w:hAnsi="宋体" w:cs="宋体"/>
                <w:szCs w:val="21"/>
              </w:rPr>
              <w:t>界面截图要求完整，内容清晰饱满，逻辑性强，软件界面设计优秀。</w:t>
            </w:r>
          </w:p>
          <w:p>
            <w:pPr>
              <w:adjustRightInd w:val="0"/>
              <w:snapToGrid w:val="0"/>
              <w:spacing w:line="360" w:lineRule="auto"/>
              <w:jc w:val="left"/>
              <w:rPr>
                <w:rFonts w:ascii="宋体" w:hAnsi="宋体" w:cs="宋体"/>
                <w:szCs w:val="21"/>
              </w:rPr>
            </w:pPr>
            <w:r>
              <w:rPr>
                <w:rFonts w:hint="eastAsia" w:ascii="宋体" w:hAnsi="宋体" w:cs="宋体"/>
                <w:szCs w:val="21"/>
              </w:rPr>
              <w:t>其中：</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课程清单清晰完整，完全符合标书和学校教学要求，</w:t>
            </w:r>
            <w:r>
              <w:rPr>
                <w:rFonts w:hint="eastAsia" w:ascii="宋体" w:hAnsi="宋体" w:cs="宋体"/>
                <w:szCs w:val="21"/>
                <w:lang w:val="zh-CN"/>
              </w:rPr>
              <w:t>动画/视频/微课的内容与课程清单内容吻合，界面截图美观大方</w:t>
            </w:r>
            <w:r>
              <w:rPr>
                <w:rFonts w:hint="eastAsia" w:ascii="宋体" w:hAnsi="宋体" w:cs="宋体"/>
                <w:szCs w:val="21"/>
              </w:rPr>
              <w:t>。10分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‘课程清单内容有少量缺失，与标书和学校教学要求有少量差异’或‘</w:t>
            </w:r>
            <w:r>
              <w:rPr>
                <w:rFonts w:hint="eastAsia" w:ascii="宋体" w:hAnsi="宋体" w:cs="宋体"/>
                <w:szCs w:val="21"/>
                <w:lang w:val="zh-CN"/>
              </w:rPr>
              <w:t>动画/视频/微课的内容与课程清单内容存在少量差异，教学界面截图一般’。</w:t>
            </w:r>
            <w:r>
              <w:rPr>
                <w:rFonts w:hint="eastAsia" w:ascii="宋体" w:hAnsi="宋体" w:cs="宋体"/>
                <w:szCs w:val="21"/>
              </w:rPr>
              <w:t>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‘课程清单内容有较大缺失，与标书和学校教学要求有存在较大差异’或‘</w:t>
            </w:r>
            <w:r>
              <w:rPr>
                <w:rFonts w:hint="eastAsia" w:ascii="宋体" w:hAnsi="宋体" w:cs="宋体"/>
                <w:szCs w:val="21"/>
                <w:lang w:val="zh-CN"/>
              </w:rPr>
              <w:t>动画/视频/微课的内容与课程清单内容存在较大差异，教学界面截图设计较差’。</w:t>
            </w:r>
            <w:r>
              <w:rPr>
                <w:rFonts w:hint="eastAsia" w:ascii="宋体" w:hAnsi="宋体" w:cs="宋体"/>
                <w:szCs w:val="21"/>
              </w:rPr>
              <w:t>3分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提交的课程清单不符合要求，或者</w:t>
            </w:r>
            <w:r>
              <w:rPr>
                <w:rFonts w:hint="eastAsia" w:ascii="宋体" w:hAnsi="宋体" w:cs="宋体"/>
                <w:szCs w:val="21"/>
                <w:lang w:val="zh-CN"/>
              </w:rPr>
              <w:t>动画/视频/微课</w:t>
            </w:r>
            <w:r>
              <w:rPr>
                <w:rFonts w:hint="eastAsia" w:ascii="宋体" w:hAnsi="宋体" w:cs="宋体"/>
                <w:szCs w:val="21"/>
              </w:rPr>
              <w:t>明显为拼凑。0分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20" w:lineRule="exact"/>
              <w:rPr>
                <w:rFonts w:ascii="宋体" w:hAnsi="宋体" w:cs="宋体"/>
                <w:b/>
                <w:szCs w:val="21"/>
                <w:lang w:val="zh-CN"/>
              </w:rPr>
            </w:pPr>
            <w:r>
              <w:rPr>
                <w:rFonts w:hint="eastAsia" w:ascii="宋体" w:hAnsi="宋体" w:cs="宋体"/>
                <w:b/>
                <w:szCs w:val="21"/>
                <w:lang w:val="zh-CN"/>
              </w:rPr>
              <w:t>资源制作方案 (满分</w:t>
            </w:r>
            <w:r>
              <w:rPr>
                <w:rFonts w:ascii="宋体" w:hAnsi="宋体" w:cs="宋体"/>
                <w:b/>
                <w:szCs w:val="21"/>
                <w:lang w:val="zh-CN"/>
              </w:rPr>
              <w:t>10</w:t>
            </w:r>
            <w:r>
              <w:rPr>
                <w:rFonts w:hint="eastAsia" w:ascii="宋体" w:hAnsi="宋体" w:cs="宋体"/>
                <w:b/>
                <w:szCs w:val="21"/>
                <w:lang w:val="zh-CN"/>
              </w:rPr>
              <w:t>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资源制作方案完整、详细，设计科学合理，专业化水平高，可行性强。10分；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资源制作方案较完整、详细，设计较科学合理，专业化水平较高，可行性较强。6分；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资源制作方案完整、详细程度一般，设计不够科学合理，专业化水平一般，可行性一般。3分；</w:t>
            </w:r>
          </w:p>
          <w:p>
            <w:pPr>
              <w:pStyle w:val="30"/>
              <w:numPr>
                <w:ilvl w:val="0"/>
                <w:numId w:val="3"/>
              </w:numPr>
              <w:adjustRightInd w:val="0"/>
              <w:snapToGrid w:val="0"/>
              <w:spacing w:line="360" w:lineRule="auto"/>
              <w:jc w:val="left"/>
              <w:rPr>
                <w:rFonts w:ascii="宋体" w:hAnsi="宋体" w:cs="宋体"/>
                <w:szCs w:val="21"/>
                <w:lang w:val="zh-CN"/>
              </w:rPr>
            </w:pPr>
            <w:r>
              <w:rPr>
                <w:rFonts w:hint="eastAsia" w:ascii="宋体" w:hAnsi="宋体" w:cs="宋体"/>
                <w:szCs w:val="21"/>
              </w:rPr>
              <w:t>其他。0分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6" w:hRule="atLeast"/>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60" w:lineRule="auto"/>
              <w:jc w:val="center"/>
              <w:rPr>
                <w:rFonts w:hint="eastAsia" w:ascii="宋体" w:hAnsi="宋体" w:eastAsia="仿宋" w:cs="宋体"/>
                <w:szCs w:val="21"/>
                <w:lang w:val="en-US" w:eastAsia="zh-CN"/>
              </w:rPr>
            </w:pPr>
            <w:r>
              <w:rPr>
                <w:rFonts w:hint="eastAsia" w:hAnsi="宋体" w:cs="宋体"/>
                <w:szCs w:val="21"/>
                <w:lang w:val="en-US" w:eastAsia="zh-CN"/>
              </w:rPr>
              <w:t>10</w:t>
            </w:r>
          </w:p>
        </w:tc>
        <w:tc>
          <w:tcPr>
            <w:tcW w:w="7128" w:type="dxa"/>
            <w:tcBorders>
              <w:top w:val="single" w:color="auto" w:sz="4" w:space="0"/>
              <w:left w:val="single" w:color="auto" w:sz="4" w:space="0"/>
              <w:right w:val="single" w:color="auto" w:sz="4" w:space="0"/>
            </w:tcBorders>
            <w:shd w:val="clear" w:color="auto" w:fill="auto"/>
            <w:vAlign w:val="center"/>
          </w:tcPr>
          <w:p>
            <w:pPr>
              <w:spacing w:line="400" w:lineRule="exact"/>
              <w:rPr>
                <w:rFonts w:ascii="宋体" w:hAnsi="宋体" w:cs="宋体"/>
                <w:b/>
                <w:szCs w:val="21"/>
              </w:rPr>
            </w:pPr>
            <w:r>
              <w:rPr>
                <w:rFonts w:hint="eastAsia" w:ascii="宋体" w:hAnsi="宋体" w:cs="宋体"/>
                <w:b/>
                <w:szCs w:val="21"/>
              </w:rPr>
              <w:t>整体项目方案的合理性、可行性(满分10分)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全面分析了用户对于资源制作的要求，对于本项目任务目标及需求了解充分，质量保障及进度安排合理可行，方案完整详细、进度合理，人员配备科学、可行性强。10分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对于用户对于资源制作的要求阐述较充分，对于本项目任务目标及需求较了解，质量保障及进度安排较合理可行，方案完整较详细、进度较合理，人员配备较科学、可行性较强。6分</w:t>
            </w:r>
          </w:p>
          <w:p>
            <w:pPr>
              <w:pStyle w:val="30"/>
              <w:numPr>
                <w:ilvl w:val="0"/>
                <w:numId w:val="3"/>
              </w:numPr>
              <w:adjustRightInd w:val="0"/>
              <w:snapToGrid w:val="0"/>
              <w:spacing w:line="360" w:lineRule="auto"/>
              <w:jc w:val="left"/>
              <w:rPr>
                <w:rFonts w:ascii="宋体" w:hAnsi="宋体" w:cs="宋体"/>
                <w:szCs w:val="21"/>
              </w:rPr>
            </w:pPr>
            <w:r>
              <w:rPr>
                <w:rFonts w:hint="eastAsia" w:ascii="宋体" w:hAnsi="宋体" w:cs="宋体"/>
                <w:szCs w:val="21"/>
              </w:rPr>
              <w:t>对于用户对于+资源制作的要求的阐述不够充分，对于本项目任务目标及需求不够了解，质量保障及进度安排一般，人员配备不够科学、可行性一般。3分</w:t>
            </w:r>
          </w:p>
          <w:p>
            <w:pPr>
              <w:pStyle w:val="30"/>
              <w:numPr>
                <w:ilvl w:val="0"/>
                <w:numId w:val="3"/>
              </w:numPr>
              <w:adjustRightInd w:val="0"/>
              <w:snapToGrid w:val="0"/>
              <w:spacing w:line="360" w:lineRule="auto"/>
              <w:jc w:val="left"/>
              <w:rPr>
                <w:rFonts w:ascii="宋体" w:hAnsi="宋体" w:cs="宋体"/>
                <w:szCs w:val="21"/>
              </w:rPr>
            </w:pPr>
            <w:r>
              <w:rPr>
                <w:rFonts w:hint="eastAsia" w:hAnsi="宋体" w:cs="宋体"/>
                <w:szCs w:val="21"/>
                <w:lang w:eastAsia="zh-CN"/>
              </w:rPr>
              <w:t>响应商</w:t>
            </w:r>
            <w:r>
              <w:rPr>
                <w:rFonts w:hint="eastAsia" w:ascii="宋体" w:hAnsi="宋体" w:cs="宋体"/>
                <w:szCs w:val="21"/>
              </w:rPr>
              <w:t>未提供服务方案。0分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50" w:type="dxa"/>
            <w:vMerge w:val="continue"/>
            <w:tcBorders>
              <w:left w:val="single" w:color="auto" w:sz="4" w:space="0"/>
              <w:right w:val="single" w:color="auto" w:sz="4" w:space="0"/>
            </w:tcBorders>
            <w:shd w:val="clear" w:color="auto" w:fill="auto"/>
            <w:vAlign w:val="center"/>
          </w:tcPr>
          <w:p>
            <w:pPr>
              <w:adjustRightInd w:val="0"/>
              <w:snapToGrid w:val="0"/>
              <w:spacing w:line="360" w:lineRule="auto"/>
              <w:rPr>
                <w:rFonts w:ascii="宋体" w:hAnsi="宋体" w:cs="宋体"/>
                <w:szCs w:val="21"/>
              </w:rPr>
            </w:pPr>
          </w:p>
        </w:tc>
        <w:tc>
          <w:tcPr>
            <w:tcW w:w="825" w:type="dxa"/>
            <w:tcBorders>
              <w:top w:val="single" w:color="auto" w:sz="4" w:space="0"/>
              <w:left w:val="single" w:color="auto" w:sz="4" w:space="0"/>
              <w:right w:val="single" w:color="auto" w:sz="4" w:space="0"/>
            </w:tcBorders>
            <w:shd w:val="clear" w:color="auto" w:fill="auto"/>
            <w:vAlign w:val="center"/>
          </w:tcPr>
          <w:p>
            <w:pPr>
              <w:adjustRightInd w:val="0"/>
              <w:snapToGrid w:val="0"/>
              <w:spacing w:line="360" w:lineRule="auto"/>
              <w:jc w:val="center"/>
              <w:rPr>
                <w:rFonts w:hint="eastAsia" w:ascii="宋体" w:hAnsi="宋体" w:cs="宋体"/>
                <w:szCs w:val="21"/>
                <w:lang w:val="en-US" w:eastAsia="zh-CN"/>
              </w:rPr>
            </w:pPr>
            <w:r>
              <w:rPr>
                <w:rFonts w:hint="eastAsia" w:ascii="宋体" w:hAnsi="宋体" w:cs="宋体"/>
                <w:szCs w:val="21"/>
                <w:lang w:val="en-US" w:eastAsia="zh-CN"/>
              </w:rPr>
              <w:t>30</w:t>
            </w:r>
          </w:p>
          <w:p>
            <w:pPr>
              <w:adjustRightInd w:val="0"/>
              <w:snapToGrid w:val="0"/>
              <w:spacing w:line="360" w:lineRule="auto"/>
              <w:jc w:val="center"/>
              <w:rPr>
                <w:rFonts w:ascii="宋体" w:hAnsi="宋体" w:cs="宋体"/>
                <w:szCs w:val="21"/>
              </w:rPr>
            </w:pPr>
            <w:r>
              <w:rPr>
                <w:rFonts w:hint="eastAsia" w:ascii="宋体" w:hAnsi="宋体" w:cs="宋体"/>
                <w:szCs w:val="21"/>
              </w:rPr>
              <w:t>（本项演示每个</w:t>
            </w:r>
            <w:r>
              <w:rPr>
                <w:rFonts w:hint="eastAsia" w:hAnsi="宋体" w:cs="宋体"/>
                <w:szCs w:val="21"/>
                <w:lang w:eastAsia="zh-CN"/>
              </w:rPr>
              <w:t>响应商</w:t>
            </w:r>
            <w:r>
              <w:rPr>
                <w:rFonts w:hint="eastAsia" w:ascii="宋体" w:hAnsi="宋体" w:cs="宋体"/>
                <w:szCs w:val="21"/>
              </w:rPr>
              <w:t>时间为20分钟）</w:t>
            </w:r>
          </w:p>
        </w:tc>
        <w:tc>
          <w:tcPr>
            <w:tcW w:w="7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b/>
                <w:szCs w:val="21"/>
              </w:rPr>
            </w:pPr>
            <w:r>
              <w:rPr>
                <w:rFonts w:hint="eastAsia" w:ascii="宋体" w:hAnsi="宋体"/>
                <w:b/>
                <w:szCs w:val="21"/>
              </w:rPr>
              <w:t>现场需演示以下软件项目（满分</w:t>
            </w:r>
            <w:r>
              <w:rPr>
                <w:rFonts w:hint="eastAsia" w:hAnsi="宋体"/>
                <w:b/>
                <w:szCs w:val="21"/>
                <w:lang w:val="en-US" w:eastAsia="zh-CN"/>
              </w:rPr>
              <w:t>28</w:t>
            </w:r>
            <w:r>
              <w:rPr>
                <w:rFonts w:hint="eastAsia" w:ascii="宋体" w:hAnsi="宋体"/>
                <w:b/>
                <w:szCs w:val="21"/>
              </w:rPr>
              <w:t>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要求现场演示二维+三维动画（满分6分）</w:t>
            </w:r>
          </w:p>
          <w:p>
            <w:pPr>
              <w:pStyle w:val="30"/>
              <w:widowControl/>
              <w:spacing w:after="0" w:line="400" w:lineRule="exact"/>
              <w:ind w:left="960"/>
              <w:jc w:val="left"/>
              <w:rPr>
                <w:rFonts w:ascii="宋体" w:hAnsi="宋体" w:cs="宋体"/>
                <w:color w:val="000000" w:themeColor="text1"/>
                <w:kern w:val="0"/>
                <w:szCs w:val="21"/>
                <w14:textFill>
                  <w14:solidFill>
                    <w14:schemeClr w14:val="tx1"/>
                  </w14:solidFill>
                </w14:textFill>
              </w:rPr>
            </w:pPr>
            <w:r>
              <w:rPr>
                <w:rFonts w:hint="eastAsia" w:asciiTheme="majorEastAsia" w:hAnsiTheme="majorEastAsia" w:eastAsiaTheme="majorEastAsia" w:cstheme="majorEastAsia"/>
                <w:kern w:val="0"/>
                <w:szCs w:val="21"/>
              </w:rPr>
              <w:t>（1）</w:t>
            </w:r>
            <w:r>
              <w:rPr>
                <w:rFonts w:hint="eastAsia" w:ascii="宋体" w:hAnsi="宋体" w:cs="宋体"/>
                <w:color w:val="000000" w:themeColor="text1"/>
                <w:kern w:val="0"/>
                <w:szCs w:val="21"/>
                <w14:textFill>
                  <w14:solidFill>
                    <w14:schemeClr w14:val="tx1"/>
                  </w14:solidFill>
                </w14:textFill>
              </w:rPr>
              <w:t>车站结构的介绍的三维动画，</w:t>
            </w:r>
          </w:p>
          <w:p>
            <w:pPr>
              <w:pStyle w:val="30"/>
              <w:widowControl/>
              <w:spacing w:after="0" w:line="400" w:lineRule="exact"/>
              <w:ind w:left="960"/>
              <w:jc w:val="left"/>
              <w:rPr>
                <w:rFonts w:asciiTheme="majorEastAsia" w:hAnsiTheme="majorEastAsia" w:eastAsiaTheme="majorEastAsia"/>
              </w:rPr>
            </w:pPr>
            <w:r>
              <w:rPr>
                <w:rFonts w:hint="eastAsia" w:ascii="宋体" w:hAnsi="宋体" w:cs="宋体"/>
                <w:color w:val="000000" w:themeColor="text1"/>
                <w:kern w:val="0"/>
                <w:szCs w:val="21"/>
                <w14:textFill>
                  <w14:solidFill>
                    <w14:schemeClr w14:val="tx1"/>
                  </w14:solidFill>
                </w14:textFill>
              </w:rPr>
              <w:t>（2）</w:t>
            </w:r>
            <w:r>
              <w:rPr>
                <w:rFonts w:hint="eastAsia" w:asciiTheme="majorEastAsia" w:hAnsiTheme="majorEastAsia" w:eastAsiaTheme="majorEastAsia" w:cstheme="majorEastAsia"/>
                <w:kern w:val="0"/>
                <w:szCs w:val="21"/>
              </w:rPr>
              <w:t>现场演示道岔动画。</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要求现场演示地铁公司真实现场拍摄的车站BAS系统的操作介绍（满分6分）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要求现场演示地铁公司真实现场拍摄的异常票卡处理流程视频</w:t>
            </w:r>
            <w:r>
              <w:rPr>
                <w:rFonts w:hint="eastAsia" w:asciiTheme="majorEastAsia" w:hAnsiTheme="majorEastAsia" w:eastAsiaTheme="majorEastAsia"/>
              </w:rPr>
              <w:t>（满分6分）</w:t>
            </w:r>
          </w:p>
          <w:p>
            <w:pPr>
              <w:pStyle w:val="30"/>
              <w:widowControl/>
              <w:numPr>
                <w:ilvl w:val="0"/>
                <w:numId w:val="4"/>
              </w:numPr>
              <w:spacing w:after="0" w:line="400" w:lineRule="exact"/>
              <w:jc w:val="left"/>
              <w:rPr>
                <w:rFonts w:ascii="宋体" w:hAnsi="宋体" w:cs="宋体"/>
                <w:b/>
                <w:szCs w:val="21"/>
              </w:rPr>
            </w:pPr>
            <w:r>
              <w:rPr>
                <w:rFonts w:hint="eastAsia" w:asciiTheme="majorEastAsia" w:hAnsiTheme="majorEastAsia" w:eastAsiaTheme="majorEastAsia" w:cstheme="majorEastAsia"/>
                <w:kern w:val="0"/>
                <w:szCs w:val="21"/>
              </w:rPr>
              <w:t>要求现场演示电话闭塞行车法</w:t>
            </w:r>
            <w:r>
              <w:rPr>
                <w:rFonts w:hint="eastAsia" w:asciiTheme="majorEastAsia" w:hAnsiTheme="majorEastAsia" w:eastAsiaTheme="majorEastAsia"/>
              </w:rPr>
              <w:t>（满分6分）</w:t>
            </w:r>
          </w:p>
          <w:p>
            <w:pPr>
              <w:pStyle w:val="30"/>
              <w:widowControl/>
              <w:numPr>
                <w:ilvl w:val="0"/>
                <w:numId w:val="4"/>
              </w:numPr>
              <w:spacing w:after="0" w:line="400" w:lineRule="exact"/>
              <w:jc w:val="left"/>
              <w:rPr>
                <w:rFonts w:asciiTheme="majorEastAsia" w:hAnsiTheme="majorEastAsia" w:eastAsiaTheme="majorEastAsia"/>
              </w:rPr>
            </w:pPr>
            <w:r>
              <w:rPr>
                <w:rFonts w:hint="eastAsia" w:asciiTheme="majorEastAsia" w:hAnsiTheme="majorEastAsia" w:eastAsiaTheme="majorEastAsia" w:cstheme="majorEastAsia"/>
                <w:kern w:val="0"/>
                <w:szCs w:val="21"/>
              </w:rPr>
              <w:t>要求现场演示地铁公司真实现场的列车整备作业流程</w:t>
            </w:r>
            <w:r>
              <w:rPr>
                <w:rFonts w:hint="eastAsia" w:asciiTheme="majorEastAsia" w:hAnsiTheme="majorEastAsia" w:eastAsiaTheme="majorEastAsia"/>
              </w:rPr>
              <w:t>（满分</w:t>
            </w:r>
            <w:r>
              <w:rPr>
                <w:rFonts w:hint="eastAsia" w:asciiTheme="majorEastAsia" w:hAnsiTheme="majorEastAsia" w:eastAsiaTheme="majorEastAsia"/>
                <w:lang w:val="en-US" w:eastAsia="zh-CN"/>
              </w:rPr>
              <w:t>4</w:t>
            </w:r>
            <w:r>
              <w:rPr>
                <w:rFonts w:hint="eastAsia" w:asciiTheme="majorEastAsia" w:hAnsiTheme="majorEastAsia" w:eastAsiaTheme="majorEastAsia"/>
              </w:rPr>
              <w:t>分）</w:t>
            </w:r>
          </w:p>
          <w:p>
            <w:pPr>
              <w:widowControl/>
              <w:spacing w:after="0" w:line="400" w:lineRule="exact"/>
              <w:jc w:val="left"/>
              <w:rPr>
                <w:rFonts w:asciiTheme="majorEastAsia" w:hAnsiTheme="majorEastAsia" w:eastAsiaTheme="majorEastAsia"/>
                <w:b/>
              </w:rPr>
            </w:pPr>
            <w:r>
              <w:rPr>
                <w:rFonts w:hint="eastAsia" w:asciiTheme="majorEastAsia" w:hAnsiTheme="majorEastAsia" w:eastAsiaTheme="majorEastAsia"/>
                <w:b/>
              </w:rPr>
              <w:t>其中：</w:t>
            </w:r>
          </w:p>
          <w:p>
            <w:pPr>
              <w:spacing w:after="0" w:line="360" w:lineRule="auto"/>
              <w:rPr>
                <w:rFonts w:hint="eastAsia" w:ascii="宋体" w:hAnsi="宋体" w:eastAsia="仿宋" w:cs="宋体"/>
                <w:szCs w:val="21"/>
                <w:lang w:eastAsia="zh-CN"/>
              </w:rPr>
            </w:pPr>
            <w:r>
              <w:rPr>
                <w:rFonts w:hint="eastAsia" w:ascii="宋体" w:hAnsi="宋体" w:cs="宋体"/>
                <w:szCs w:val="21"/>
              </w:rPr>
              <w:t>现场演示的动画/视频/微课内容清晰完整，流程正确，内容讲解逻辑强，提交的动画/视频/微课内容优秀</w:t>
            </w:r>
            <w:r>
              <w:rPr>
                <w:rFonts w:hint="eastAsia" w:hAnsi="宋体" w:cs="宋体"/>
                <w:szCs w:val="21"/>
                <w:lang w:val="en-US" w:eastAsia="zh-CN"/>
              </w:rPr>
              <w:t>为满</w:t>
            </w:r>
            <w:r>
              <w:rPr>
                <w:rFonts w:hint="eastAsia" w:ascii="宋体" w:hAnsi="宋体" w:cs="宋体"/>
                <w:szCs w:val="21"/>
              </w:rPr>
              <w:t>分</w:t>
            </w:r>
            <w:r>
              <w:rPr>
                <w:rFonts w:hint="eastAsia" w:hAnsi="宋体" w:cs="宋体"/>
                <w:szCs w:val="21"/>
                <w:lang w:eastAsia="zh-CN"/>
              </w:rPr>
              <w:t>；</w:t>
            </w:r>
          </w:p>
          <w:p>
            <w:pPr>
              <w:spacing w:after="0" w:line="360" w:lineRule="auto"/>
              <w:rPr>
                <w:rFonts w:hint="eastAsia" w:ascii="宋体" w:hAnsi="宋体" w:eastAsia="仿宋" w:cs="宋体"/>
                <w:szCs w:val="21"/>
                <w:lang w:val="en-US" w:eastAsia="zh-CN"/>
              </w:rPr>
            </w:pPr>
            <w:r>
              <w:rPr>
                <w:rFonts w:hint="eastAsia" w:ascii="宋体" w:hAnsi="宋体" w:cs="宋体"/>
                <w:szCs w:val="21"/>
              </w:rPr>
              <w:t>现场演示的动画/视频/微课内容内容有缺失，流程有错误、提交的动画/视频/微课内容质量一般</w:t>
            </w:r>
            <w:r>
              <w:rPr>
                <w:rFonts w:hint="eastAsia" w:hAnsi="宋体" w:cs="宋体"/>
                <w:szCs w:val="21"/>
                <w:lang w:val="en-US" w:eastAsia="zh-CN"/>
              </w:rPr>
              <w:t>为</w:t>
            </w:r>
            <w:r>
              <w:rPr>
                <w:rFonts w:hint="eastAsia" w:ascii="宋体" w:hAnsi="宋体" w:cs="宋体"/>
                <w:szCs w:val="21"/>
              </w:rPr>
              <w:t>3分</w:t>
            </w:r>
            <w:r>
              <w:rPr>
                <w:rFonts w:hint="eastAsia" w:hAnsi="宋体" w:cs="宋体"/>
                <w:szCs w:val="21"/>
                <w:lang w:eastAsia="zh-CN"/>
              </w:rPr>
              <w:t>，</w:t>
            </w:r>
            <w:r>
              <w:rPr>
                <w:rFonts w:hint="eastAsia" w:hAnsi="宋体" w:cs="宋体"/>
                <w:szCs w:val="21"/>
                <w:lang w:val="en-US" w:eastAsia="zh-CN"/>
              </w:rPr>
              <w:t>其中第五项为2分；</w:t>
            </w:r>
          </w:p>
          <w:p>
            <w:pPr>
              <w:spacing w:after="0" w:line="360" w:lineRule="auto"/>
              <w:rPr>
                <w:rFonts w:hint="eastAsia" w:ascii="宋体" w:hAnsi="宋体" w:eastAsia="仿宋" w:cs="宋体"/>
                <w:szCs w:val="21"/>
                <w:lang w:eastAsia="zh-CN"/>
              </w:rPr>
            </w:pPr>
            <w:r>
              <w:rPr>
                <w:rFonts w:hint="eastAsia" w:ascii="宋体" w:hAnsi="宋体" w:cs="宋体"/>
                <w:szCs w:val="21"/>
              </w:rPr>
              <w:t>不能提供</w:t>
            </w:r>
            <w:r>
              <w:rPr>
                <w:rFonts w:hint="eastAsia" w:hAnsi="宋体" w:cs="宋体"/>
                <w:szCs w:val="21"/>
                <w:lang w:eastAsia="zh-CN"/>
              </w:rPr>
              <w:t>磋商文件</w:t>
            </w:r>
            <w:r>
              <w:rPr>
                <w:rFonts w:hint="eastAsia" w:ascii="宋体" w:hAnsi="宋体" w:cs="宋体"/>
                <w:szCs w:val="21"/>
              </w:rPr>
              <w:t>所有要求的软件内容，或动画/视频/微课内容质量较差</w:t>
            </w:r>
            <w:r>
              <w:rPr>
                <w:rFonts w:hint="eastAsia" w:hAnsi="宋体" w:cs="宋体"/>
                <w:szCs w:val="21"/>
                <w:lang w:val="en-US" w:eastAsia="zh-CN"/>
              </w:rPr>
              <w:t>为</w:t>
            </w:r>
            <w:r>
              <w:rPr>
                <w:rFonts w:hint="eastAsia" w:ascii="宋体" w:hAnsi="宋体" w:cs="宋体"/>
                <w:szCs w:val="21"/>
              </w:rPr>
              <w:t>0分</w:t>
            </w:r>
            <w:r>
              <w:rPr>
                <w:rFonts w:hint="eastAsia" w:hAnsi="宋体" w:cs="宋体"/>
                <w:szCs w:val="21"/>
                <w:lang w:eastAsia="zh-CN"/>
              </w:rPr>
              <w:t>。</w:t>
            </w:r>
          </w:p>
          <w:p>
            <w:pPr>
              <w:widowControl/>
              <w:spacing w:after="0" w:line="360" w:lineRule="auto"/>
              <w:jc w:val="left"/>
              <w:rPr>
                <w:rFonts w:asciiTheme="majorEastAsia" w:hAnsiTheme="majorEastAsia" w:eastAsiaTheme="majorEastAsia"/>
              </w:rPr>
            </w:pPr>
          </w:p>
          <w:p>
            <w:pPr>
              <w:adjustRightInd w:val="0"/>
              <w:snapToGrid w:val="0"/>
              <w:spacing w:after="0" w:line="360" w:lineRule="auto"/>
              <w:rPr>
                <w:rFonts w:ascii="宋体" w:hAnsi="宋体" w:cs="宋体"/>
                <w:b/>
                <w:szCs w:val="21"/>
              </w:rPr>
            </w:pPr>
            <w:r>
              <w:rPr>
                <w:rFonts w:hint="eastAsia" w:ascii="宋体" w:hAnsi="宋体" w:cs="宋体"/>
                <w:b/>
                <w:szCs w:val="21"/>
              </w:rPr>
              <w:t>基本要求：</w:t>
            </w:r>
          </w:p>
          <w:p>
            <w:pPr>
              <w:adjustRightInd w:val="0"/>
              <w:snapToGrid w:val="0"/>
              <w:spacing w:after="0" w:line="360" w:lineRule="auto"/>
              <w:rPr>
                <w:rFonts w:ascii="宋体" w:hAnsi="宋体" w:cs="宋体"/>
                <w:szCs w:val="21"/>
              </w:rPr>
            </w:pPr>
            <w:r>
              <w:rPr>
                <w:rFonts w:hint="eastAsia" w:ascii="宋体" w:hAnsi="宋体" w:cs="宋体"/>
                <w:szCs w:val="21"/>
              </w:rPr>
              <w:t>1、其中现场展示视频资源必须为原创高清作品，视频须有制造商logo，从网络截取等渠道作品将导致严重扣分）</w:t>
            </w:r>
          </w:p>
          <w:p>
            <w:pPr>
              <w:adjustRightInd w:val="0"/>
              <w:snapToGrid w:val="0"/>
              <w:spacing w:after="0" w:line="360" w:lineRule="auto"/>
              <w:rPr>
                <w:rFonts w:ascii="宋体" w:hAnsi="宋体" w:cs="宋体"/>
                <w:szCs w:val="21"/>
              </w:rPr>
            </w:pPr>
            <w:r>
              <w:rPr>
                <w:rFonts w:hint="eastAsia" w:ascii="宋体" w:hAnsi="宋体" w:cs="宋体"/>
                <w:szCs w:val="21"/>
              </w:rPr>
              <w:t>2、反映场景需真实，如车站场景或手摇道岔场景。</w:t>
            </w:r>
          </w:p>
          <w:p>
            <w:pPr>
              <w:adjustRightInd w:val="0"/>
              <w:snapToGrid w:val="0"/>
              <w:spacing w:after="0" w:line="360" w:lineRule="auto"/>
              <w:rPr>
                <w:rFonts w:ascii="宋体" w:hAnsi="宋体" w:cs="宋体"/>
                <w:szCs w:val="21"/>
              </w:rPr>
            </w:pPr>
            <w:r>
              <w:rPr>
                <w:rFonts w:hint="eastAsia" w:ascii="宋体" w:hAnsi="宋体" w:cs="宋体"/>
                <w:szCs w:val="21"/>
              </w:rPr>
              <w:t>3.能描述相关操作的详细过程。</w:t>
            </w:r>
          </w:p>
          <w:p>
            <w:pPr>
              <w:adjustRightInd w:val="0"/>
              <w:snapToGrid w:val="0"/>
              <w:spacing w:after="0" w:line="360" w:lineRule="auto"/>
              <w:rPr>
                <w:rFonts w:ascii="宋体" w:hAnsi="宋体" w:cs="宋体"/>
                <w:szCs w:val="21"/>
              </w:rPr>
            </w:pPr>
            <w:r>
              <w:rPr>
                <w:rFonts w:hint="eastAsia" w:ascii="宋体" w:hAnsi="宋体" w:cs="宋体"/>
                <w:szCs w:val="21"/>
              </w:rPr>
              <w:t>4.配音清晰完整。</w:t>
            </w:r>
          </w:p>
          <w:p>
            <w:pPr>
              <w:adjustRightInd w:val="0"/>
              <w:snapToGrid w:val="0"/>
              <w:spacing w:after="0" w:line="360" w:lineRule="auto"/>
              <w:rPr>
                <w:rFonts w:ascii="宋体" w:hAnsi="宋体" w:cs="宋体"/>
                <w:szCs w:val="21"/>
              </w:rPr>
            </w:pPr>
            <w:r>
              <w:rPr>
                <w:rFonts w:hint="eastAsia" w:ascii="宋体" w:hAnsi="宋体" w:cs="宋体"/>
                <w:szCs w:val="21"/>
              </w:rPr>
              <w:t>5.其中虚拟操作软件可由系统自动评分。</w:t>
            </w:r>
          </w:p>
          <w:p>
            <w:pPr>
              <w:spacing w:line="400" w:lineRule="exact"/>
              <w:rPr>
                <w:rFonts w:ascii="宋体" w:hAnsi="宋体"/>
                <w:b/>
                <w:szCs w:val="21"/>
              </w:rPr>
            </w:pPr>
            <w:r>
              <w:rPr>
                <w:rFonts w:hint="eastAsia" w:ascii="宋体" w:hAnsi="宋体"/>
                <w:b/>
                <w:szCs w:val="21"/>
              </w:rPr>
              <w:t>现场需演示积件资源库内容（满分2分）：</w:t>
            </w:r>
          </w:p>
          <w:p>
            <w:pPr>
              <w:widowControl/>
              <w:spacing w:after="0" w:line="400" w:lineRule="exact"/>
              <w:jc w:val="left"/>
              <w:rPr>
                <w:rFonts w:asciiTheme="majorEastAsia" w:hAnsiTheme="majorEastAsia" w:eastAsiaTheme="majorEastAsia"/>
              </w:rPr>
            </w:pPr>
            <w:r>
              <w:rPr>
                <w:rFonts w:hint="eastAsia" w:asciiTheme="majorEastAsia" w:hAnsiTheme="majorEastAsia" w:eastAsiaTheme="majorEastAsia"/>
              </w:rPr>
              <w:t>要求</w:t>
            </w:r>
            <w:r>
              <w:rPr>
                <w:rFonts w:hint="eastAsia" w:asciiTheme="majorEastAsia" w:hAnsiTheme="majorEastAsia" w:eastAsiaTheme="majorEastAsia"/>
                <w:lang w:eastAsia="zh-CN"/>
              </w:rPr>
              <w:t>响应商</w:t>
            </w:r>
            <w:r>
              <w:rPr>
                <w:rFonts w:hint="eastAsia" w:asciiTheme="majorEastAsia" w:hAnsiTheme="majorEastAsia" w:eastAsiaTheme="majorEastAsia"/>
              </w:rPr>
              <w:t>演示积件资源库windows清单，清单数量不少于</w:t>
            </w:r>
            <w:r>
              <w:rPr>
                <w:rFonts w:asciiTheme="majorEastAsia" w:hAnsiTheme="majorEastAsia" w:eastAsiaTheme="majorEastAsia"/>
              </w:rPr>
              <w:t>1</w:t>
            </w:r>
            <w:r>
              <w:rPr>
                <w:rFonts w:hint="eastAsia" w:asciiTheme="majorEastAsia" w:hAnsiTheme="majorEastAsia" w:eastAsiaTheme="majorEastAsia"/>
              </w:rPr>
              <w:t>万条，并做现场展示。</w:t>
            </w:r>
          </w:p>
          <w:p>
            <w:pPr>
              <w:widowControl/>
              <w:spacing w:after="0" w:line="400" w:lineRule="exact"/>
              <w:jc w:val="left"/>
              <w:rPr>
                <w:rFonts w:asciiTheme="majorEastAsia" w:hAnsiTheme="majorEastAsia" w:eastAsiaTheme="majorEastAsia"/>
                <w:b/>
              </w:rPr>
            </w:pPr>
            <w:r>
              <w:rPr>
                <w:rFonts w:hint="eastAsia" w:asciiTheme="majorEastAsia" w:hAnsiTheme="majorEastAsia" w:eastAsiaTheme="majorEastAsia"/>
                <w:b/>
              </w:rPr>
              <w:t>其中：</w:t>
            </w:r>
          </w:p>
          <w:p>
            <w:pPr>
              <w:spacing w:after="0" w:line="360" w:lineRule="auto"/>
              <w:rPr>
                <w:rFonts w:ascii="宋体" w:hAnsi="宋体" w:cs="宋体"/>
                <w:szCs w:val="21"/>
              </w:rPr>
            </w:pPr>
            <w:r>
              <w:rPr>
                <w:rFonts w:hint="eastAsia" w:ascii="宋体" w:hAnsi="宋体" w:cs="宋体"/>
                <w:szCs w:val="21"/>
              </w:rPr>
              <w:t>可提供</w:t>
            </w:r>
            <w:r>
              <w:rPr>
                <w:rFonts w:hint="eastAsia" w:asciiTheme="majorEastAsia" w:hAnsiTheme="majorEastAsia" w:eastAsiaTheme="majorEastAsia"/>
              </w:rPr>
              <w:t>积件资源库windows清单，清单数量不少于</w:t>
            </w:r>
            <w:r>
              <w:rPr>
                <w:rFonts w:asciiTheme="majorEastAsia" w:hAnsiTheme="majorEastAsia" w:eastAsiaTheme="majorEastAsia"/>
              </w:rPr>
              <w:t>1</w:t>
            </w:r>
            <w:r>
              <w:rPr>
                <w:rFonts w:hint="eastAsia" w:asciiTheme="majorEastAsia" w:hAnsiTheme="majorEastAsia" w:eastAsiaTheme="majorEastAsia"/>
              </w:rPr>
              <w:t>万条。</w:t>
            </w:r>
            <w:r>
              <w:rPr>
                <w:rFonts w:hint="eastAsia" w:ascii="宋体" w:hAnsi="宋体" w:cs="宋体"/>
                <w:szCs w:val="21"/>
              </w:rPr>
              <w:t>2分</w:t>
            </w:r>
          </w:p>
          <w:p>
            <w:pPr>
              <w:spacing w:after="0" w:line="360" w:lineRule="auto"/>
              <w:rPr>
                <w:rFonts w:asciiTheme="majorEastAsia" w:hAnsiTheme="majorEastAsia" w:eastAsiaTheme="majorEastAsia"/>
                <w:b/>
              </w:rPr>
            </w:pPr>
            <w:r>
              <w:rPr>
                <w:rFonts w:hint="eastAsia" w:ascii="宋体" w:hAnsi="宋体" w:cs="宋体"/>
                <w:szCs w:val="21"/>
              </w:rPr>
              <w:t>不可提供</w:t>
            </w:r>
            <w:r>
              <w:rPr>
                <w:rFonts w:hint="eastAsia" w:asciiTheme="majorEastAsia" w:hAnsiTheme="majorEastAsia" w:eastAsiaTheme="majorEastAsia"/>
              </w:rPr>
              <w:t>积件资源库windows清单，或清单数量少于</w:t>
            </w:r>
            <w:r>
              <w:rPr>
                <w:rFonts w:asciiTheme="majorEastAsia" w:hAnsiTheme="majorEastAsia" w:eastAsiaTheme="majorEastAsia"/>
              </w:rPr>
              <w:t>1</w:t>
            </w:r>
            <w:r>
              <w:rPr>
                <w:rFonts w:hint="eastAsia" w:asciiTheme="majorEastAsia" w:hAnsiTheme="majorEastAsia" w:eastAsiaTheme="majorEastAsia"/>
              </w:rPr>
              <w:t>万条。</w:t>
            </w:r>
            <w:r>
              <w:rPr>
                <w:rFonts w:ascii="宋体" w:hAnsi="宋体" w:cs="宋体"/>
                <w:szCs w:val="21"/>
              </w:rPr>
              <w:t>0</w:t>
            </w:r>
            <w:r>
              <w:rPr>
                <w:rFonts w:hint="eastAsia" w:ascii="宋体" w:hAnsi="宋体" w:cs="宋体"/>
                <w:szCs w:val="21"/>
              </w:rPr>
              <w:t>分</w:t>
            </w:r>
          </w:p>
          <w:p>
            <w:pPr>
              <w:adjustRightInd w:val="0"/>
              <w:snapToGrid w:val="0"/>
              <w:spacing w:after="0" w:line="360" w:lineRule="auto"/>
              <w:rPr>
                <w:rFonts w:ascii="宋体" w:hAnsi="宋体" w:cs="宋体"/>
                <w:szCs w:val="21"/>
              </w:rPr>
            </w:pPr>
          </w:p>
        </w:tc>
      </w:tr>
    </w:tbl>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响应文件目录</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一、资格性和符合性检查响应对照表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二、资信证明文件要求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三、报价表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四、技术参数响应及偏离表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五、商务条款响应及偏离表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六、技术响应文件要求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七、竞争性磋商函格式</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sz w:val="28"/>
          <w:szCs w:val="28"/>
        </w:rPr>
        <w:br w:type="page"/>
      </w:r>
      <w:r>
        <w:rPr>
          <w:rStyle w:val="22"/>
          <w:rFonts w:hint="eastAsia" w:ascii="仿宋_GB2312" w:hAnsi="仿宋_GB2312" w:eastAsia="仿宋_GB2312" w:cs="仿宋_GB2312"/>
          <w:b w:val="0"/>
          <w:color w:val="auto"/>
          <w:sz w:val="28"/>
          <w:szCs w:val="28"/>
        </w:rPr>
        <w:t>一、</w:t>
      </w:r>
      <w:r>
        <w:rPr>
          <w:rFonts w:hint="eastAsia" w:ascii="仿宋_GB2312" w:hAnsi="仿宋_GB2312" w:eastAsia="仿宋_GB2312" w:cs="仿宋_GB2312"/>
          <w:b/>
          <w:color w:val="000000"/>
          <w:sz w:val="28"/>
          <w:szCs w:val="28"/>
        </w:rPr>
        <w:t>磋商申请及声明</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致：</w:t>
      </w:r>
      <w:r>
        <w:rPr>
          <w:rFonts w:hint="eastAsia" w:ascii="仿宋_GB2312" w:hAnsi="仿宋_GB2312" w:eastAsia="仿宋_GB2312" w:cs="仿宋_GB2312"/>
          <w:sz w:val="28"/>
          <w:szCs w:val="28"/>
        </w:rPr>
        <w:t>南京交通职业技术学院</w:t>
      </w:r>
    </w:p>
    <w:p>
      <w:pPr>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根据贵方</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 xml:space="preserve">（项目名称）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（项目编号）磋商邀请，正式授权下述签字人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(姓名和职务)代表</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（响应商名称），提交响应文件并参加磋商。</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据此函，签字人兹宣布同意如下：</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sz w:val="28"/>
          <w:szCs w:val="28"/>
          <w:lang w:val="zh-CN"/>
        </w:rPr>
        <w:t>我们的资格条件完全符合政府采购法和本次采购要求</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我们</w:t>
      </w:r>
      <w:r>
        <w:rPr>
          <w:rFonts w:hint="eastAsia" w:ascii="仿宋_GB2312" w:hAnsi="仿宋_GB2312" w:eastAsia="仿宋_GB2312" w:cs="仿宋_GB2312"/>
          <w:sz w:val="28"/>
          <w:szCs w:val="28"/>
          <w:lang w:val="zh-CN"/>
        </w:rPr>
        <w:t>同意并向贵方提供了与本次采购活动有关的所有证据和资料</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2、服务名称：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我们的</w:t>
      </w:r>
      <w:r>
        <w:rPr>
          <w:rFonts w:hint="eastAsia" w:ascii="仿宋_GB2312" w:hAnsi="仿宋_GB2312" w:eastAsia="仿宋_GB2312" w:cs="仿宋_GB2312"/>
          <w:sz w:val="28"/>
          <w:szCs w:val="28"/>
        </w:rPr>
        <w:t>总报价为（大写）</w:t>
      </w:r>
      <w:r>
        <w:rPr>
          <w:rFonts w:hint="eastAsia" w:ascii="仿宋_GB2312" w:hAnsi="仿宋_GB2312" w:eastAsia="仿宋_GB2312" w:cs="仿宋_GB2312"/>
          <w:b/>
          <w:bCs/>
          <w:sz w:val="28"/>
          <w:szCs w:val="28"/>
          <w:u w:val="single"/>
        </w:rPr>
        <w:t xml:space="preserve">          </w:t>
      </w:r>
      <w:r>
        <w:rPr>
          <w:rFonts w:hint="eastAsia" w:ascii="仿宋_GB2312" w:hAnsi="仿宋_GB2312" w:eastAsia="仿宋_GB2312" w:cs="仿宋_GB2312"/>
          <w:sz w:val="28"/>
          <w:szCs w:val="28"/>
        </w:rPr>
        <w:t>元人民币。</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4、本项目承诺交付期为：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我们已详细审核全部磋商文件及其有效补充文件，我们放弃对磋商文件任何误解的权利，提交响应文件后，</w:t>
      </w:r>
      <w:r>
        <w:rPr>
          <w:rFonts w:hint="eastAsia" w:ascii="仿宋_GB2312" w:hAnsi="仿宋_GB2312" w:eastAsia="仿宋_GB2312" w:cs="仿宋_GB2312"/>
          <w:b/>
          <w:sz w:val="28"/>
          <w:szCs w:val="28"/>
          <w:lang w:val="zh-CN"/>
        </w:rPr>
        <w:t>不对磋商文件本身提出质疑</w:t>
      </w:r>
      <w:r>
        <w:rPr>
          <w:rFonts w:hint="eastAsia" w:ascii="仿宋_GB2312" w:hAnsi="仿宋_GB2312" w:eastAsia="仿宋_GB2312" w:cs="仿宋_GB2312"/>
          <w:sz w:val="28"/>
          <w:szCs w:val="28"/>
          <w:lang w:val="zh-CN"/>
        </w:rPr>
        <w:t>。否则，属于不诚信和故意扰乱政府采购活动行为，我们将无条件接受处罚。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5、一旦我方成交，我方将根据磋商文件的规定，严格履行合同，保证于承诺的时间内完成本项目规定的服务内容。</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6、我方决不提供虚假材料谋取成交、决不采取不正当手段诋毁、排挤其他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、决不与采购人、其它</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或者采购办恶意串通、决不向采购人、采购办工作人员和磋商小组进行商业贿赂、决不拒绝有关部门监督检查或提供虚假情况，如有违反，无条件接受贵方及相关管理部门的处罚。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7、我方正式通讯方式为：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电   话：</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传   真：</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8、我方正式开户银行和帐号为：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开户银行：</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帐    号：</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授权代表姓名（签字）：</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名称（公章）：</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widowControl/>
        <w:adjustRightInd/>
        <w:spacing w:line="240" w:lineRule="auto"/>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二、法定代表人授权书</w:t>
      </w:r>
    </w:p>
    <w:p>
      <w:pPr>
        <w:autoSpaceDE w:val="0"/>
        <w:autoSpaceDN w:val="0"/>
        <w:jc w:val="both"/>
        <w:rPr>
          <w:rFonts w:hint="eastAsia" w:ascii="仿宋_GB2312" w:hAnsi="仿宋_GB2312" w:eastAsia="仿宋_GB2312" w:cs="仿宋_GB2312"/>
          <w:bCs/>
          <w:sz w:val="28"/>
          <w:szCs w:val="28"/>
          <w:lang w:val="zh-CN"/>
        </w:rPr>
      </w:pPr>
      <w:r>
        <w:rPr>
          <w:rFonts w:hint="eastAsia" w:ascii="仿宋_GB2312" w:hAnsi="仿宋_GB2312" w:eastAsia="仿宋_GB2312" w:cs="仿宋_GB2312"/>
          <w:bCs/>
          <w:sz w:val="28"/>
          <w:szCs w:val="28"/>
        </w:rPr>
        <w:t>南京交通职业技术学院</w:t>
      </w:r>
      <w:r>
        <w:rPr>
          <w:rFonts w:hint="eastAsia" w:ascii="仿宋_GB2312" w:hAnsi="仿宋_GB2312" w:eastAsia="仿宋_GB2312" w:cs="仿宋_GB2312"/>
          <w:bCs/>
          <w:sz w:val="28"/>
          <w:szCs w:val="28"/>
          <w:lang w:val="zh-CN"/>
        </w:rPr>
        <w:t>：</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本授权书声明：注册于</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（响应商住址）的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（响应商名称）法定代表人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（法定代表人姓名、职务）代表本公司授权在下面签字的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（响应商代表姓名、职务）为本公司的合法代理人，就贵方组织的</w:t>
      </w:r>
    </w:p>
    <w:p>
      <w:pPr>
        <w:autoSpaceDE w:val="0"/>
        <w:autoSpaceDN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（项目名称）竞争性磋商，以本公司名义处理一切与之有关的事务。</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本授权书于        年   月   日签字生效，特此声明。</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法定代表人签字：</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被授权人签字：                    </w:t>
      </w:r>
    </w:p>
    <w:p>
      <w:pPr>
        <w:tabs>
          <w:tab w:val="left" w:pos="1440"/>
        </w:tabs>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日        期：        年    月    日</w:t>
      </w:r>
    </w:p>
    <w:p>
      <w:pPr>
        <w:jc w:val="both"/>
        <w:rPr>
          <w:rStyle w:val="22"/>
          <w:rFonts w:hint="eastAsia" w:ascii="仿宋_GB2312" w:hAnsi="仿宋_GB2312" w:eastAsia="仿宋_GB2312" w:cs="仿宋_GB2312"/>
          <w:color w:val="auto"/>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widowControl/>
        <w:adjustRightInd/>
        <w:spacing w:line="240" w:lineRule="auto"/>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三、报价表</w:t>
      </w: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690" w:type="dxa"/>
            <w:tcBorders>
              <w:top w:val="nil"/>
              <w:left w:val="nil"/>
              <w:right w:val="nil"/>
            </w:tcBorders>
            <w:vAlign w:val="center"/>
          </w:tcPr>
          <w:p>
            <w:pPr>
              <w:widowControl/>
              <w:jc w:val="both"/>
              <w:rPr>
                <w:rFonts w:hint="eastAsia" w:ascii="仿宋_GB2312" w:hAnsi="仿宋_GB2312" w:eastAsia="仿宋_GB2312" w:cs="仿宋_GB2312"/>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包号</w:t>
            </w:r>
          </w:p>
        </w:tc>
        <w:tc>
          <w:tcPr>
            <w:tcW w:w="4641"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               称</w:t>
            </w:r>
          </w:p>
        </w:tc>
        <w:tc>
          <w:tcPr>
            <w:tcW w:w="3725" w:type="dxa"/>
            <w:gridSpan w:val="3"/>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总价（人民币，大写）</w:t>
            </w:r>
          </w:p>
        </w:tc>
        <w:tc>
          <w:tcPr>
            <w:tcW w:w="6027" w:type="dxa"/>
            <w:gridSpan w:val="4"/>
            <w:vAlign w:val="center"/>
          </w:tcPr>
          <w:p>
            <w:pPr>
              <w:widowControl/>
              <w:snapToGrid w:val="0"/>
              <w:ind w:firstLine="5320" w:firstLineChars="19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元</w:t>
            </w: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（盖章）</w:t>
      </w:r>
    </w:p>
    <w:p>
      <w:pPr>
        <w:jc w:val="both"/>
        <w:rPr>
          <w:rFonts w:hint="eastAsia" w:ascii="仿宋_GB2312" w:hAnsi="仿宋_GB2312" w:eastAsia="仿宋_GB2312" w:cs="仿宋_GB2312"/>
          <w:b/>
          <w:color w:val="000000"/>
          <w:sz w:val="28"/>
          <w:szCs w:val="28"/>
        </w:rPr>
      </w:pPr>
      <w:r>
        <w:rPr>
          <w:rStyle w:val="22"/>
          <w:rFonts w:hint="eastAsia" w:ascii="仿宋_GB2312" w:hAnsi="仿宋_GB2312" w:eastAsia="仿宋_GB2312" w:cs="仿宋_GB2312"/>
          <w:color w:val="auto"/>
          <w:sz w:val="28"/>
          <w:szCs w:val="28"/>
        </w:rPr>
        <w:t>四、</w:t>
      </w:r>
      <w:r>
        <w:rPr>
          <w:rFonts w:hint="eastAsia" w:ascii="仿宋_GB2312" w:hAnsi="仿宋_GB2312" w:eastAsia="仿宋_GB2312" w:cs="仿宋_GB2312"/>
          <w:b/>
          <w:color w:val="000000"/>
          <w:sz w:val="28"/>
          <w:szCs w:val="28"/>
        </w:rPr>
        <w:t>分项报价表（服务类参照）</w:t>
      </w:r>
    </w:p>
    <w:p>
      <w:pPr>
        <w:widowControl/>
        <w:jc w:val="both"/>
        <w:rPr>
          <w:rFonts w:hint="eastAsia" w:ascii="仿宋_GB2312" w:hAnsi="仿宋_GB2312" w:eastAsia="仿宋_GB2312" w:cs="仿宋_GB2312"/>
          <w:color w:val="000000"/>
          <w:sz w:val="28"/>
          <w:szCs w:val="28"/>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99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名称</w:t>
            </w:r>
          </w:p>
        </w:tc>
        <w:tc>
          <w:tcPr>
            <w:tcW w:w="378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品牌、规格或型号或分项目</w:t>
            </w:r>
            <w:r>
              <w:rPr>
                <w:rFonts w:hint="eastAsia" w:ascii="仿宋_GB2312" w:hAnsi="仿宋_GB2312" w:eastAsia="仿宋_GB2312" w:cs="仿宋_GB2312"/>
                <w:color w:val="000000"/>
                <w:sz w:val="28"/>
                <w:szCs w:val="28"/>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单价</w:t>
            </w:r>
            <w:r>
              <w:rPr>
                <w:rFonts w:hint="eastAsia" w:ascii="仿宋_GB2312" w:hAnsi="仿宋_GB2312" w:eastAsia="仿宋_GB2312" w:cs="仿宋_GB2312"/>
                <w:b/>
                <w:color w:val="00000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说明：1、如果行数不够，请自行增加。</w:t>
      </w:r>
    </w:p>
    <w:p>
      <w:pPr>
        <w:widowControl/>
        <w:numPr>
          <w:ilvl w:val="0"/>
          <w:numId w:val="6"/>
        </w:numPr>
        <w:ind w:firstLine="843" w:firstLineChars="300"/>
        <w:jc w:val="both"/>
        <w:textAlignment w:val="auto"/>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五、磋商项目主要产品一览表（服务类参照）</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（至少填报单价最高的两个产品）</w:t>
      </w: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3"/>
            <w:tcBorders>
              <w:top w:val="nil"/>
              <w:left w:val="nil"/>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9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28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数量</w:t>
            </w:r>
          </w:p>
        </w:tc>
        <w:tc>
          <w:tcPr>
            <w:tcW w:w="10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pStyle w:val="23"/>
        <w:widowControl/>
        <w:numPr>
          <w:ilvl w:val="0"/>
          <w:numId w:val="6"/>
        </w:numPr>
        <w:ind w:firstLineChars="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（公章）</w:t>
      </w:r>
    </w:p>
    <w:p>
      <w:pPr>
        <w:pStyle w:val="23"/>
        <w:widowControl/>
        <w:numPr>
          <w:ilvl w:val="0"/>
          <w:numId w:val="6"/>
        </w:numPr>
        <w:ind w:firstLineChars="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六、技术（服务）条款偏离表</w:t>
      </w: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2"/>
            <w:tcBorders>
              <w:top w:val="nil"/>
              <w:left w:val="nil"/>
              <w:bottom w:val="single" w:color="auto" w:sz="6" w:space="0"/>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p>
    <w:p>
      <w:pPr>
        <w:autoSpaceDE w:val="0"/>
        <w:autoSpaceDN w:val="0"/>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1、响应商应逐一说明提供的产品和服务响应，直接拷贝竞争性文件技术要求的，按照不响应处理；</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2、如果行数不够，请自行增加。</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七、商务条款偏离表</w:t>
      </w:r>
    </w:p>
    <w:p>
      <w:pPr>
        <w:widowControl/>
        <w:jc w:val="both"/>
        <w:rPr>
          <w:rFonts w:hint="eastAsia" w:ascii="仿宋_GB2312" w:hAnsi="仿宋_GB2312" w:eastAsia="仿宋_GB2312" w:cs="仿宋_GB2312"/>
          <w:color w:val="000000"/>
          <w:sz w:val="28"/>
          <w:szCs w:val="28"/>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830" w:type="dxa"/>
            <w:gridSpan w:val="2"/>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竞争性磋商文件要求的商务条款</w:t>
            </w: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020"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说明：如果行数不够，请自行增加。</w:t>
      </w:r>
    </w:p>
    <w:p>
      <w:pPr>
        <w:widowControl/>
        <w:jc w:val="both"/>
        <w:rPr>
          <w:rFonts w:hint="eastAsia" w:ascii="仿宋_GB2312" w:hAnsi="仿宋_GB2312" w:eastAsia="仿宋_GB2312" w:cs="仿宋_GB2312"/>
          <w:color w:val="000000"/>
          <w:sz w:val="28"/>
          <w:szCs w:val="28"/>
          <w:lang w:val="zh-CN"/>
        </w:rPr>
      </w:pPr>
    </w:p>
    <w:p>
      <w:pPr>
        <w:jc w:val="both"/>
        <w:rPr>
          <w:rFonts w:hint="eastAsia" w:ascii="仿宋_GB2312" w:hAnsi="仿宋_GB2312" w:eastAsia="仿宋_GB2312" w:cs="仿宋_GB2312"/>
          <w:b/>
          <w:color w:val="000000"/>
          <w:sz w:val="28"/>
          <w:szCs w:val="28"/>
        </w:rPr>
      </w:pP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八、供货一览表（服务类参照）</w:t>
      </w:r>
    </w:p>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（含</w:t>
      </w:r>
      <w:r>
        <w:rPr>
          <w:rFonts w:hint="eastAsia" w:ascii="仿宋_GB2312" w:hAnsi="仿宋_GB2312" w:eastAsia="仿宋_GB2312" w:cs="仿宋_GB2312"/>
          <w:sz w:val="28"/>
          <w:szCs w:val="28"/>
        </w:rPr>
        <w:t>配件、备品、消耗材料</w:t>
      </w:r>
      <w:r>
        <w:rPr>
          <w:rFonts w:hint="eastAsia" w:ascii="仿宋_GB2312" w:hAnsi="仿宋_GB2312" w:eastAsia="仿宋_GB2312" w:cs="仿宋_GB2312"/>
          <w:sz w:val="28"/>
          <w:szCs w:val="28"/>
          <w:lang w:val="zh-CN"/>
        </w:rPr>
        <w:t>）</w:t>
      </w:r>
    </w:p>
    <w:p>
      <w:pPr>
        <w:widowControl/>
        <w:jc w:val="both"/>
        <w:rPr>
          <w:rFonts w:hint="eastAsia" w:ascii="仿宋_GB2312" w:hAnsi="仿宋_GB2312" w:eastAsia="仿宋_GB2312" w:cs="仿宋_GB2312"/>
          <w:sz w:val="28"/>
          <w:szCs w:val="28"/>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3254" w:type="dxa"/>
            <w:gridSpan w:val="3"/>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分包</w:t>
            </w: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说明：</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1、如果行数不够，请自行增加。</w:t>
      </w:r>
    </w:p>
    <w:p>
      <w:pPr>
        <w:widowControl/>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2、响应商应根据上表要求逐一说明投提供的货物名称、品牌、规格型号、产地、技术参数等，否则，按照不响应处理；</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w:t>
      </w:r>
      <w:r>
        <w:rPr>
          <w:rFonts w:hint="eastAsia" w:ascii="仿宋_GB2312" w:hAnsi="仿宋_GB2312" w:eastAsia="仿宋_GB2312" w:cs="仿宋_GB2312"/>
          <w:sz w:val="28"/>
          <w:szCs w:val="28"/>
          <w:lang w:val="zh-CN"/>
        </w:rPr>
        <w:t>（盖章）</w:t>
      </w:r>
    </w:p>
    <w:p>
      <w:pPr>
        <w:snapToGrid w:val="0"/>
        <w:spacing w:before="50" w:after="5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九、磋商文件要求及</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认为需要提供的证明文件及材料等（格式自拟）</w:t>
      </w:r>
    </w:p>
    <w:p>
      <w:pPr>
        <w:snapToGrid w:val="0"/>
        <w:spacing w:before="50" w:after="50"/>
        <w:jc w:val="both"/>
        <w:rPr>
          <w:rFonts w:hint="eastAsia" w:ascii="仿宋_GB2312" w:hAnsi="仿宋_GB2312" w:eastAsia="仿宋_GB2312" w:cs="仿宋_GB2312"/>
          <w:b/>
          <w:sz w:val="28"/>
          <w:szCs w:val="28"/>
        </w:rPr>
      </w:pPr>
    </w:p>
    <w:p>
      <w:pPr>
        <w:snapToGrid w:val="0"/>
        <w:spacing w:before="50" w:after="50"/>
        <w:jc w:val="both"/>
        <w:rPr>
          <w:rFonts w:hint="eastAsia" w:ascii="仿宋_GB2312" w:hAnsi="仿宋_GB2312" w:eastAsia="仿宋_GB2312" w:cs="仿宋_GB2312"/>
          <w:b/>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十、中小企业声明函</w:t>
      </w:r>
    </w:p>
    <w:p>
      <w:pPr>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本公司郑重声明，根据《政府采购促进中小企业发展暂行办法》（财库[2011]181号）的规定，本公司为______（请填写：小型、微型）企业。即，本公司同时满足以下条件：</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1、根据《工业和信息化部、国家统计局、国家发展和改革委员会、财政部关于印发中小企业划型标准规定的通知》（工信部联企业[2011]300号）规定的划分标准，本公司为______（请填写：小型、微型）企业。</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本公司对上述声明的真实性负责。如有虚假，将依法承担相应责任。</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企业名称（公章）：</w:t>
      </w: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  期：   年   月   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both"/>
        <w:textAlignment w:val="auto"/>
        <w:rPr>
          <w:rFonts w:hint="eastAsia" w:ascii="仿宋_GB2312" w:hAnsi="仿宋_GB2312" w:eastAsia="仿宋_GB2312" w:cs="仿宋_GB2312"/>
          <w:b/>
          <w:color w:val="000000"/>
          <w:sz w:val="28"/>
          <w:szCs w:val="28"/>
        </w:rPr>
      </w:pPr>
      <w:bookmarkStart w:id="115" w:name="_Toc464724913"/>
      <w:bookmarkStart w:id="116" w:name="_Toc264974219"/>
      <w:bookmarkStart w:id="117" w:name="_Toc351731637"/>
      <w:bookmarkStart w:id="118" w:name="_Toc465082424"/>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十一、无重大违法记录声明</w:t>
      </w:r>
    </w:p>
    <w:p>
      <w:pPr>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南京交通职业技术学院：</w:t>
      </w:r>
    </w:p>
    <w:p>
      <w:pPr>
        <w:jc w:val="both"/>
        <w:rPr>
          <w:rFonts w:hint="eastAsia" w:ascii="仿宋_GB2312" w:hAnsi="仿宋_GB2312" w:eastAsia="仿宋_GB2312" w:cs="仿宋_GB2312"/>
          <w:color w:val="000000"/>
          <w:sz w:val="28"/>
          <w:szCs w:val="28"/>
        </w:rPr>
      </w:pP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我单位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名称）郑重声明：</w:t>
      </w: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参加政府采购活动前3年内在经营活动中</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（在下划线上如实填写：有或没有）重大违法记录。</w:t>
      </w:r>
    </w:p>
    <w:p>
      <w:pPr>
        <w:ind w:firstLine="420" w:firstLineChars="1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（说明：政府采购法第二十二条第一款第五项所称重大违法记录，是指</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因违法经营受到刑事处罚或者责令停产停业、吊销许可证或者执照、较大数额罚款等行政处罚。）</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声明人：（公章）</w:t>
      </w: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日期：   年   月   日</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十二、法人或者其他组织的营业执照等证明文件，自然人的身份证明</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br w:type="page"/>
      </w:r>
      <w:bookmarkEnd w:id="115"/>
      <w:bookmarkEnd w:id="116"/>
      <w:bookmarkEnd w:id="117"/>
      <w:bookmarkEnd w:id="118"/>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十三、财务状况报告，依法缴纳税收和社会保障资金的相关材料格式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十四、履行合同所必需的设备和专业技术能力的证明材料格式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（提供履行合同所必需的设备的购置发票或其他证明材料，专业技术人员的职称证书和用工合同）</w:t>
      </w:r>
    </w:p>
    <w:p>
      <w:pPr>
        <w:jc w:val="both"/>
        <w:rPr>
          <w:rFonts w:hint="eastAsia" w:ascii="仿宋_GB2312" w:hAnsi="仿宋_GB2312" w:eastAsia="仿宋_GB2312" w:cs="仿宋_GB2312"/>
          <w:sz w:val="28"/>
          <w:szCs w:val="28"/>
        </w:rPr>
      </w:pPr>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27FD1"/>
    <w:multiLevelType w:val="multilevel"/>
    <w:tmpl w:val="02727FD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4CBE48D3"/>
    <w:multiLevelType w:val="multilevel"/>
    <w:tmpl w:val="4CBE48D3"/>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57825F20"/>
    <w:multiLevelType w:val="singleLevel"/>
    <w:tmpl w:val="57825F20"/>
    <w:lvl w:ilvl="0" w:tentative="0">
      <w:start w:val="2"/>
      <w:numFmt w:val="decimal"/>
      <w:suff w:val="nothing"/>
      <w:lvlText w:val="%1、"/>
      <w:lvlJc w:val="left"/>
    </w:lvl>
  </w:abstractNum>
  <w:abstractNum w:abstractNumId="5">
    <w:nsid w:val="68DC09F5"/>
    <w:multiLevelType w:val="multilevel"/>
    <w:tmpl w:val="68DC09F5"/>
    <w:lvl w:ilvl="0" w:tentative="0">
      <w:start w:val="1"/>
      <w:numFmt w:val="decimal"/>
      <w:lvlText w:val="%1、"/>
      <w:lvlJc w:val="left"/>
      <w:pPr>
        <w:ind w:left="960" w:hanging="360"/>
      </w:pPr>
      <w:rPr>
        <w:rFonts w:hint="eastAsia" w:ascii="宋体" w:hAnsi="宋体" w:eastAsia="宋体" w:cs="宋体"/>
        <w:b/>
      </w:rPr>
    </w:lvl>
    <w:lvl w:ilvl="1" w:tentative="0">
      <w:start w:val="1"/>
      <w:numFmt w:val="lowerLetter"/>
      <w:lvlText w:val="%2)"/>
      <w:lvlJc w:val="left"/>
      <w:pPr>
        <w:ind w:left="1560" w:hanging="480"/>
      </w:pPr>
    </w:lvl>
    <w:lvl w:ilvl="2" w:tentative="0">
      <w:start w:val="1"/>
      <w:numFmt w:val="lowerRoman"/>
      <w:lvlText w:val="%3."/>
      <w:lvlJc w:val="right"/>
      <w:pPr>
        <w:ind w:left="2040" w:hanging="480"/>
      </w:pPr>
    </w:lvl>
    <w:lvl w:ilvl="3" w:tentative="0">
      <w:start w:val="1"/>
      <w:numFmt w:val="decimal"/>
      <w:lvlText w:val="%4."/>
      <w:lvlJc w:val="left"/>
      <w:pPr>
        <w:ind w:left="2520" w:hanging="480"/>
      </w:pPr>
    </w:lvl>
    <w:lvl w:ilvl="4" w:tentative="0">
      <w:start w:val="1"/>
      <w:numFmt w:val="lowerLetter"/>
      <w:lvlText w:val="%5)"/>
      <w:lvlJc w:val="left"/>
      <w:pPr>
        <w:ind w:left="3000" w:hanging="480"/>
      </w:pPr>
    </w:lvl>
    <w:lvl w:ilvl="5" w:tentative="0">
      <w:start w:val="1"/>
      <w:numFmt w:val="lowerRoman"/>
      <w:lvlText w:val="%6."/>
      <w:lvlJc w:val="right"/>
      <w:pPr>
        <w:ind w:left="3480" w:hanging="480"/>
      </w:pPr>
    </w:lvl>
    <w:lvl w:ilvl="6" w:tentative="0">
      <w:start w:val="1"/>
      <w:numFmt w:val="decimal"/>
      <w:lvlText w:val="%7."/>
      <w:lvlJc w:val="left"/>
      <w:pPr>
        <w:ind w:left="3960" w:hanging="480"/>
      </w:pPr>
    </w:lvl>
    <w:lvl w:ilvl="7" w:tentative="0">
      <w:start w:val="1"/>
      <w:numFmt w:val="lowerLetter"/>
      <w:lvlText w:val="%8)"/>
      <w:lvlJc w:val="left"/>
      <w:pPr>
        <w:ind w:left="4440" w:hanging="480"/>
      </w:pPr>
    </w:lvl>
    <w:lvl w:ilvl="8" w:tentative="0">
      <w:start w:val="1"/>
      <w:numFmt w:val="lowerRoman"/>
      <w:lvlText w:val="%9."/>
      <w:lvlJc w:val="right"/>
      <w:pPr>
        <w:ind w:left="4920" w:hanging="480"/>
      </w:pPr>
    </w:lvl>
  </w:abstractNum>
  <w:num w:numId="1">
    <w:abstractNumId w:val="2"/>
  </w:num>
  <w:num w:numId="2">
    <w:abstractNumId w:val="1"/>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A26B1"/>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9803A10"/>
    <w:rsid w:val="0C8F07C6"/>
    <w:rsid w:val="0CFC6897"/>
    <w:rsid w:val="0D245CF3"/>
    <w:rsid w:val="0F2954C2"/>
    <w:rsid w:val="109817D1"/>
    <w:rsid w:val="12220DA2"/>
    <w:rsid w:val="15150FC3"/>
    <w:rsid w:val="18E67D5A"/>
    <w:rsid w:val="1B59145E"/>
    <w:rsid w:val="201C2A60"/>
    <w:rsid w:val="21365382"/>
    <w:rsid w:val="25A231E2"/>
    <w:rsid w:val="25BA1E38"/>
    <w:rsid w:val="269F1A50"/>
    <w:rsid w:val="2A6470EC"/>
    <w:rsid w:val="2B473D9E"/>
    <w:rsid w:val="2C7079B0"/>
    <w:rsid w:val="2E5A5C95"/>
    <w:rsid w:val="2F053432"/>
    <w:rsid w:val="2F903D6A"/>
    <w:rsid w:val="2FE3199B"/>
    <w:rsid w:val="3049627B"/>
    <w:rsid w:val="30A86969"/>
    <w:rsid w:val="31225F10"/>
    <w:rsid w:val="329E0CB0"/>
    <w:rsid w:val="33932BE6"/>
    <w:rsid w:val="33BC1180"/>
    <w:rsid w:val="353848F1"/>
    <w:rsid w:val="37716BD9"/>
    <w:rsid w:val="3910217E"/>
    <w:rsid w:val="3A3003A1"/>
    <w:rsid w:val="3A676567"/>
    <w:rsid w:val="3D1B2A57"/>
    <w:rsid w:val="42006AC6"/>
    <w:rsid w:val="44FA448C"/>
    <w:rsid w:val="45EB7FB0"/>
    <w:rsid w:val="4720386C"/>
    <w:rsid w:val="48461846"/>
    <w:rsid w:val="4A021A82"/>
    <w:rsid w:val="4A062164"/>
    <w:rsid w:val="4DDC786C"/>
    <w:rsid w:val="4E0E5237"/>
    <w:rsid w:val="4FF7030B"/>
    <w:rsid w:val="5020390E"/>
    <w:rsid w:val="50C14D82"/>
    <w:rsid w:val="54860917"/>
    <w:rsid w:val="555039D2"/>
    <w:rsid w:val="55570EFF"/>
    <w:rsid w:val="56F12796"/>
    <w:rsid w:val="57CA279A"/>
    <w:rsid w:val="58B03D21"/>
    <w:rsid w:val="593B3015"/>
    <w:rsid w:val="5B3311C3"/>
    <w:rsid w:val="63033838"/>
    <w:rsid w:val="63BF620D"/>
    <w:rsid w:val="66E83B4E"/>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customStyle="1" w:styleId="27">
    <w:name w:val="p15"/>
    <w:basedOn w:val="1"/>
    <w:qFormat/>
    <w:uiPriority w:val="0"/>
    <w:pPr>
      <w:widowControl/>
    </w:pPr>
  </w:style>
  <w:style w:type="paragraph" w:customStyle="1" w:styleId="28">
    <w:name w:val="p0"/>
    <w:basedOn w:val="1"/>
    <w:qFormat/>
    <w:uiPriority w:val="0"/>
    <w:pPr>
      <w:widowControl/>
    </w:pPr>
  </w:style>
  <w:style w:type="character" w:customStyle="1" w:styleId="29">
    <w:name w:val="font21"/>
    <w:qFormat/>
    <w:uiPriority w:val="0"/>
    <w:rPr>
      <w:rFonts w:hint="eastAsia" w:ascii="宋体" w:hAnsi="宋体" w:eastAsia="宋体" w:cs="宋体"/>
      <w:color w:val="000000"/>
      <w:sz w:val="21"/>
      <w:szCs w:val="21"/>
      <w:u w:val="none"/>
    </w:rPr>
  </w:style>
  <w:style w:type="paragraph" w:styleId="30">
    <w:name w:val="List Paragraph"/>
    <w:basedOn w:val="1"/>
    <w:qFormat/>
    <w:uiPriority w:val="99"/>
    <w:pPr>
      <w:ind w:firstLine="420" w:firstLineChars="200"/>
    </w:pPr>
  </w:style>
  <w:style w:type="character" w:customStyle="1" w:styleId="31">
    <w:name w:val="font0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2</TotalTime>
  <ScaleCrop>false</ScaleCrop>
  <LinksUpToDate>false</LinksUpToDate>
  <CharactersWithSpaces>22084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2018-07-16T06:59:52Z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