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2"/>
        <w:ind w:firstLine="0" w:firstLineChars="0"/>
        <w:rPr>
          <w:rFonts w:eastAsia="黑体"/>
          <w:b/>
          <w:bCs/>
          <w:sz w:val="84"/>
        </w:rPr>
      </w:pPr>
    </w:p>
    <w:p>
      <w:pPr>
        <w:pStyle w:val="22"/>
        <w:ind w:firstLine="0" w:firstLineChars="0"/>
        <w:jc w:val="center"/>
        <w:rPr>
          <w:rFonts w:ascii="楷体" w:hAnsi="楷体" w:eastAsia="楷体" w:cs="楷体"/>
          <w:b/>
          <w:bCs/>
          <w:sz w:val="84"/>
        </w:rPr>
      </w:pPr>
      <w:r>
        <w:rPr>
          <w:rFonts w:hint="eastAsia" w:ascii="楷体" w:hAnsi="楷体" w:eastAsia="楷体" w:cs="楷体"/>
          <w:b/>
          <w:bCs/>
          <w:sz w:val="84"/>
        </w:rPr>
        <w:t>竞争性磋商文件</w:t>
      </w:r>
    </w:p>
    <w:p>
      <w:pPr>
        <w:pStyle w:val="22"/>
        <w:ind w:firstLine="0" w:firstLineChars="0"/>
        <w:jc w:val="both"/>
        <w:rPr>
          <w:rFonts w:hint="eastAsia" w:ascii="楷体" w:hAnsi="楷体" w:eastAsia="楷体" w:cs="楷体"/>
          <w:b/>
          <w:bCs/>
          <w:sz w:val="36"/>
          <w:szCs w:val="36"/>
        </w:rPr>
      </w:pPr>
    </w:p>
    <w:p>
      <w:pPr>
        <w:pStyle w:val="22"/>
        <w:ind w:firstLine="0" w:firstLineChars="0"/>
        <w:jc w:val="both"/>
        <w:rPr>
          <w:rFonts w:hint="eastAsia" w:ascii="楷体" w:hAnsi="楷体" w:eastAsia="楷体" w:cs="楷体"/>
          <w:b/>
          <w:bCs/>
          <w:sz w:val="36"/>
          <w:szCs w:val="36"/>
        </w:rPr>
      </w:pPr>
    </w:p>
    <w:p>
      <w:pPr>
        <w:spacing w:after="156" w:afterLines="50" w:line="640" w:lineRule="exact"/>
        <w:ind w:left="838" w:leftChars="399" w:firstLine="0" w:firstLineChars="0"/>
        <w:jc w:val="both"/>
        <w:rPr>
          <w:rFonts w:hint="eastAsia" w:ascii="楷体" w:hAnsi="楷体" w:eastAsia="楷体" w:cs="楷体"/>
          <w:b/>
          <w:bCs/>
          <w:sz w:val="40"/>
          <w:szCs w:val="40"/>
          <w:lang w:eastAsia="zh-CN"/>
        </w:rPr>
      </w:pPr>
      <w:r>
        <w:rPr>
          <w:rFonts w:hint="eastAsia" w:ascii="楷体" w:hAnsi="楷体" w:eastAsia="楷体" w:cs="楷体"/>
          <w:b/>
          <w:bCs/>
          <w:sz w:val="40"/>
          <w:szCs w:val="40"/>
        </w:rPr>
        <w:t>项目名称：南京交通职业技术学院</w:t>
      </w:r>
      <w:r>
        <w:rPr>
          <w:rFonts w:hint="eastAsia" w:ascii="楷体" w:hAnsi="楷体" w:eastAsia="楷体" w:cs="楷体"/>
          <w:b/>
          <w:bCs/>
          <w:sz w:val="40"/>
          <w:szCs w:val="40"/>
          <w:lang w:eastAsia="zh-CN"/>
        </w:rPr>
        <w:t>学校</w:t>
      </w:r>
    </w:p>
    <w:p>
      <w:pPr>
        <w:spacing w:after="156" w:afterLines="50" w:line="640" w:lineRule="exact"/>
        <w:ind w:left="838" w:leftChars="399" w:firstLine="0" w:firstLineChars="0"/>
        <w:jc w:val="center"/>
        <w:rPr>
          <w:rFonts w:hint="eastAsia" w:ascii="楷体" w:hAnsi="楷体" w:eastAsia="楷体" w:cs="楷体"/>
          <w:b/>
          <w:bCs/>
          <w:sz w:val="40"/>
          <w:szCs w:val="40"/>
        </w:rPr>
      </w:pPr>
      <w:r>
        <w:rPr>
          <w:rFonts w:hint="eastAsia" w:ascii="楷体" w:hAnsi="楷体" w:eastAsia="楷体" w:cs="楷体"/>
          <w:b/>
          <w:bCs/>
          <w:sz w:val="40"/>
          <w:szCs w:val="40"/>
          <w:lang w:eastAsia="zh-CN"/>
        </w:rPr>
        <w:t>网络建设项目监理</w:t>
      </w:r>
      <w:r>
        <w:rPr>
          <w:rFonts w:hint="eastAsia" w:ascii="楷体" w:hAnsi="楷体" w:eastAsia="楷体" w:cs="楷体"/>
          <w:b/>
          <w:bCs/>
          <w:sz w:val="40"/>
          <w:szCs w:val="40"/>
        </w:rPr>
        <w:t>项目</w:t>
      </w:r>
    </w:p>
    <w:p>
      <w:pPr>
        <w:spacing w:line="640" w:lineRule="exact"/>
        <w:ind w:left="838" w:leftChars="399" w:firstLine="0" w:firstLineChars="0"/>
        <w:jc w:val="both"/>
        <w:rPr>
          <w:rFonts w:hint="default" w:ascii="楷体" w:hAnsi="楷体" w:eastAsia="楷体" w:cs="楷体"/>
          <w:b/>
          <w:bCs/>
          <w:sz w:val="40"/>
          <w:szCs w:val="40"/>
          <w:lang w:val="en-US" w:eastAsia="zh-CN"/>
        </w:rPr>
      </w:pPr>
      <w:r>
        <w:rPr>
          <w:rFonts w:hint="eastAsia" w:ascii="楷体" w:hAnsi="楷体" w:eastAsia="楷体" w:cs="楷体"/>
          <w:b/>
          <w:bCs/>
          <w:sz w:val="40"/>
          <w:szCs w:val="40"/>
        </w:rPr>
        <w:t>项目编号：JY2020</w:t>
      </w:r>
      <w:r>
        <w:rPr>
          <w:rFonts w:hint="eastAsia" w:ascii="楷体" w:hAnsi="楷体" w:eastAsia="楷体" w:cs="楷体"/>
          <w:b/>
          <w:bCs/>
          <w:sz w:val="40"/>
          <w:szCs w:val="40"/>
          <w:lang w:val="en-US" w:eastAsia="zh-CN"/>
        </w:rPr>
        <w:t>072</w:t>
      </w:r>
    </w:p>
    <w:p>
      <w:pPr>
        <w:pStyle w:val="22"/>
        <w:ind w:firstLine="0" w:firstLineChars="0"/>
        <w:jc w:val="both"/>
        <w:rPr>
          <w:rFonts w:ascii="宋体" w:hAnsi="宋体"/>
          <w:b/>
          <w:bCs/>
          <w:sz w:val="36"/>
          <w:szCs w:val="36"/>
        </w:rPr>
      </w:pPr>
    </w:p>
    <w:p>
      <w:pPr>
        <w:pStyle w:val="22"/>
        <w:ind w:firstLine="723"/>
        <w:jc w:val="both"/>
        <w:rPr>
          <w:rFonts w:ascii="宋体" w:hAnsi="宋体"/>
          <w:b/>
          <w:bCs/>
          <w:sz w:val="36"/>
          <w:szCs w:val="36"/>
        </w:rPr>
      </w:pPr>
    </w:p>
    <w:p>
      <w:pPr>
        <w:pStyle w:val="22"/>
        <w:ind w:firstLine="723"/>
        <w:jc w:val="center"/>
        <w:rPr>
          <w:rFonts w:ascii="宋体" w:hAnsi="宋体"/>
          <w:b/>
          <w:bCs/>
          <w:sz w:val="36"/>
          <w:szCs w:val="36"/>
        </w:rPr>
      </w:pPr>
    </w:p>
    <w:p>
      <w:pPr>
        <w:pStyle w:val="22"/>
        <w:ind w:firstLine="723"/>
        <w:jc w:val="center"/>
        <w:rPr>
          <w:rFonts w:ascii="宋体" w:hAnsi="宋体"/>
          <w:b/>
          <w:bCs/>
          <w:sz w:val="36"/>
          <w:szCs w:val="36"/>
        </w:rPr>
      </w:pPr>
    </w:p>
    <w:p>
      <w:pPr>
        <w:pStyle w:val="22"/>
        <w:ind w:firstLine="723"/>
        <w:jc w:val="center"/>
        <w:rPr>
          <w:rFonts w:ascii="宋体" w:hAnsi="宋体"/>
          <w:b/>
          <w:bCs/>
          <w:sz w:val="36"/>
          <w:szCs w:val="36"/>
        </w:rPr>
      </w:pPr>
    </w:p>
    <w:p>
      <w:pPr>
        <w:pStyle w:val="22"/>
        <w:spacing w:line="500" w:lineRule="exact"/>
        <w:ind w:firstLine="0" w:firstLineChars="0"/>
        <w:jc w:val="center"/>
        <w:rPr>
          <w:rFonts w:hint="eastAsia" w:ascii="楷体" w:hAnsi="楷体" w:eastAsia="楷体" w:cs="楷体"/>
          <w:b/>
          <w:spacing w:val="23"/>
          <w:sz w:val="36"/>
          <w:szCs w:val="36"/>
        </w:rPr>
      </w:pPr>
      <w:r>
        <w:rPr>
          <w:rFonts w:hint="eastAsia" w:ascii="楷体" w:hAnsi="楷体" w:eastAsia="楷体" w:cs="楷体"/>
          <w:b/>
          <w:bCs/>
          <w:spacing w:val="23"/>
          <w:sz w:val="36"/>
          <w:szCs w:val="36"/>
        </w:rPr>
        <w:t>采购人：</w:t>
      </w:r>
      <w:r>
        <w:rPr>
          <w:rFonts w:hint="eastAsia" w:ascii="楷体" w:hAnsi="楷体" w:eastAsia="楷体" w:cs="楷体"/>
          <w:b/>
          <w:bCs/>
          <w:sz w:val="40"/>
          <w:szCs w:val="40"/>
        </w:rPr>
        <w:t>南京交通职业技术学院</w:t>
      </w:r>
    </w:p>
    <w:p>
      <w:pPr>
        <w:pStyle w:val="22"/>
        <w:ind w:firstLine="723"/>
        <w:jc w:val="center"/>
        <w:rPr>
          <w:rFonts w:hint="eastAsia" w:ascii="楷体" w:hAnsi="楷体" w:eastAsia="楷体" w:cs="楷体"/>
          <w:b/>
          <w:bCs/>
          <w:sz w:val="36"/>
          <w:szCs w:val="36"/>
        </w:rPr>
      </w:pPr>
    </w:p>
    <w:p>
      <w:pPr>
        <w:pStyle w:val="22"/>
        <w:ind w:firstLine="0" w:firstLineChars="0"/>
        <w:jc w:val="center"/>
        <w:rPr>
          <w:rFonts w:hint="eastAsia" w:ascii="楷体" w:hAnsi="楷体" w:eastAsia="楷体" w:cs="楷体"/>
          <w:b/>
          <w:bCs/>
          <w:sz w:val="36"/>
          <w:szCs w:val="36"/>
        </w:rPr>
      </w:pPr>
      <w:r>
        <w:rPr>
          <w:rFonts w:hint="eastAsia" w:ascii="楷体" w:hAnsi="楷体" w:eastAsia="楷体" w:cs="楷体"/>
          <w:b/>
          <w:bCs/>
          <w:sz w:val="36"/>
          <w:szCs w:val="36"/>
        </w:rPr>
        <w:t xml:space="preserve">二 〇 二 〇 年 </w:t>
      </w:r>
      <w:r>
        <w:rPr>
          <w:rFonts w:hint="eastAsia" w:ascii="楷体" w:hAnsi="楷体" w:eastAsia="楷体" w:cs="楷体"/>
          <w:b/>
          <w:bCs/>
          <w:sz w:val="36"/>
          <w:szCs w:val="36"/>
          <w:lang w:val="en-US" w:eastAsia="zh-CN"/>
        </w:rPr>
        <w:t>八</w:t>
      </w:r>
      <w:r>
        <w:rPr>
          <w:rFonts w:hint="eastAsia" w:ascii="楷体" w:hAnsi="楷体" w:eastAsia="楷体" w:cs="楷体"/>
          <w:b/>
          <w:bCs/>
          <w:sz w:val="36"/>
          <w:szCs w:val="36"/>
        </w:rPr>
        <w:t xml:space="preserve"> 月</w:t>
      </w:r>
    </w:p>
    <w:p>
      <w:pPr>
        <w:pStyle w:val="22"/>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楷体" w:hAnsi="楷体" w:eastAsia="楷体" w:cs="楷体"/>
          <w:kern w:val="2"/>
          <w:sz w:val="21"/>
          <w:szCs w:val="21"/>
        </w:rPr>
      </w:pPr>
      <w:r>
        <w:rPr>
          <w:rFonts w:hint="eastAsia" w:ascii="楷体" w:hAnsi="楷体" w:eastAsia="楷体" w:cs="楷体"/>
          <w:kern w:val="2"/>
          <w:sz w:val="21"/>
          <w:szCs w:val="21"/>
        </w:rPr>
        <w:br w:type="page"/>
      </w:r>
      <w:bookmarkStart w:id="0" w:name="_Toc120614210"/>
      <w:bookmarkStart w:id="1" w:name="_Toc20823272"/>
      <w:bookmarkStart w:id="2" w:name="_Toc479757206"/>
      <w:bookmarkStart w:id="3" w:name="_Toc513029200"/>
      <w:bookmarkStart w:id="4" w:name="_Toc523127445"/>
      <w:bookmarkStart w:id="5" w:name="_Toc16938516"/>
    </w:p>
    <w:p>
      <w:pPr>
        <w:pStyle w:val="22"/>
        <w:keepNext w:val="0"/>
        <w:keepLines w:val="0"/>
        <w:pageBreakBefore w:val="0"/>
        <w:widowControl w:val="0"/>
        <w:tabs>
          <w:tab w:val="right" w:leader="dot" w:pos="8306"/>
        </w:tabs>
        <w:kinsoku/>
        <w:wordWrap/>
        <w:overflowPunct/>
        <w:topLinePunct w:val="0"/>
        <w:autoSpaceDE/>
        <w:autoSpaceDN/>
        <w:bidi w:val="0"/>
        <w:adjustRightInd w:val="0"/>
        <w:snapToGrid/>
        <w:spacing w:line="240" w:lineRule="auto"/>
        <w:ind w:firstLine="420" w:firstLineChars="0"/>
        <w:jc w:val="center"/>
        <w:textAlignment w:val="auto"/>
        <w:outlineLvl w:val="2"/>
        <w:rPr>
          <w:rFonts w:hint="eastAsia" w:ascii="方正仿宋_GBK" w:hAnsi="方正仿宋_GBK" w:eastAsia="方正仿宋_GBK" w:cs="方正仿宋_GBK"/>
          <w:b/>
          <w:bCs/>
          <w:sz w:val="32"/>
          <w:szCs w:val="32"/>
        </w:rPr>
      </w:pPr>
      <w:r>
        <w:rPr>
          <w:rFonts w:hint="eastAsia" w:ascii="方正仿宋_GBK" w:hAnsi="方正仿宋_GBK" w:eastAsia="方正仿宋_GBK" w:cs="方正仿宋_GBK"/>
          <w:b/>
          <w:bCs/>
          <w:sz w:val="32"/>
          <w:szCs w:val="32"/>
        </w:rPr>
        <w:t>目    录</w:t>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仿宋_GBK" w:hAnsi="方正仿宋_GBK" w:eastAsia="方正仿宋_GBK" w:cs="方正仿宋_GBK"/>
          <w:sz w:val="28"/>
          <w:szCs w:val="28"/>
        </w:rPr>
        <w:fldChar w:fldCharType="begin"/>
      </w:r>
      <w:r>
        <w:rPr>
          <w:rFonts w:hint="eastAsia" w:ascii="方正仿宋_GBK" w:hAnsi="方正仿宋_GBK" w:eastAsia="方正仿宋_GBK" w:cs="方正仿宋_GBK"/>
          <w:sz w:val="28"/>
          <w:szCs w:val="28"/>
        </w:rPr>
        <w:instrText xml:space="preserve">TOC \o "1-2" \h \u </w:instrText>
      </w:r>
      <w:r>
        <w:rPr>
          <w:rFonts w:hint="eastAsia" w:ascii="方正仿宋_GBK" w:hAnsi="方正仿宋_GBK" w:eastAsia="方正仿宋_GBK" w:cs="方正仿宋_GBK"/>
          <w:sz w:val="28"/>
          <w:szCs w:val="28"/>
        </w:rPr>
        <w:fldChar w:fldCharType="separate"/>
      </w: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_Toc5406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第一章  采购邀请</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_Toc5406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_Toc27034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一、采购项目简要说明</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_Toc27034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_Toc10733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二、合格磋商供应商资格要求</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_Toc10733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_Toc20365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三、磋商文件发布信息及报名要求</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_Toc20365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_Toc2830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四、响应文件</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_Toc2830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_Toc29400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五、磋商保证金</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_Toc29400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_Toc20037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六、采购人联系方式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_Toc20037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_Toc7825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第二章  磋商须知</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_Toc7825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_Toc29990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一、总则</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_Toc29990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_Toc3435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二、响应文件编制</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_Toc3435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_Toc22852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三、响应文件签署与提交</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_Toc22852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6</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_Toc15791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四、磋商</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_Toc15791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7</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_Toc26301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五</w:t>
      </w:r>
      <w:r>
        <w:rPr>
          <w:rFonts w:hint="eastAsia" w:ascii="方正楷体_GBK" w:hAnsi="方正楷体_GBK" w:eastAsia="方正楷体_GBK" w:cs="方正楷体_GBK"/>
          <w:lang w:val="zh-CN"/>
        </w:rPr>
        <w:t>、询问、质疑、投诉和诚实信用</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_Toc26301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10</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_Toc7702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 xml:space="preserve">第三章  </w:t>
      </w:r>
      <w:r>
        <w:rPr>
          <w:rFonts w:hint="eastAsia" w:ascii="方正楷体_GBK" w:hAnsi="方正楷体_GBK" w:eastAsia="方正楷体_GBK" w:cs="方正楷体_GBK"/>
        </w:rPr>
        <w:t>项目需求</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_Toc7702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_Toc48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zh-CN"/>
        </w:rPr>
        <w:t>一、项目概况</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_Toc48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_Toc8806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二</w:t>
      </w:r>
      <w:r>
        <w:rPr>
          <w:rFonts w:hint="eastAsia" w:ascii="方正楷体_GBK" w:hAnsi="方正楷体_GBK" w:eastAsia="方正楷体_GBK" w:cs="方正楷体_GBK"/>
          <w:lang w:val="zh-CN"/>
        </w:rPr>
        <w:t>、供应商要求</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_Toc8806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14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_Toc32611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第四章  评审方法和评审标准</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_Toc32611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_Toc1535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一、评标方法与定标原则</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_Toc1535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_Toc8228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二、</w:t>
      </w:r>
      <w:r>
        <w:rPr>
          <w:rFonts w:hint="eastAsia" w:ascii="方正楷体_GBK" w:hAnsi="方正楷体_GBK" w:eastAsia="方正楷体_GBK" w:cs="方正楷体_GBK"/>
        </w:rPr>
        <w:t>成交标准</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_Toc8228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_Toc29622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第五章  磋商响应文件格式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_Toc29622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23</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_Toc20268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一、磋商函</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_Toc20268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27</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_Toc17846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二、报价表</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_Toc17846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28</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_Toc25862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三、服务要求响应表</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_Toc25862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29</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_Toc25918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四、服务方案</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_Toc25918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30</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_Toc21836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五、企业资质</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_Toc21836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31</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_Toc20851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六、合同条款及格式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_Toc20851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32</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_Toc23738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lang w:val="en-US" w:eastAsia="zh-CN"/>
        </w:rPr>
        <w:t>七、</w:t>
      </w:r>
      <w:r>
        <w:rPr>
          <w:rFonts w:hint="eastAsia" w:ascii="方正楷体_GBK" w:hAnsi="方正楷体_GBK" w:eastAsia="方正楷体_GBK" w:cs="方正楷体_GBK"/>
        </w:rPr>
        <w:t>相关附表格式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_Toc23738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_Toc19874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附 件1：法人授权委托书</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_Toc19874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34</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_Toc19684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bCs w:val="0"/>
          <w:kern w:val="2"/>
          <w:szCs w:val="21"/>
          <w:lang w:val="en-US" w:eastAsia="zh-CN" w:bidi="ar-SA"/>
        </w:rPr>
        <w:t>附 件2：具备履行合同所必需的设备和专业技术能力的书面声明</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_Toc19684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35</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hint="eastAsia" w:ascii="方正楷体_GBK" w:hAnsi="方正楷体_GBK" w:eastAsia="方正楷体_GBK" w:cs="方正楷体_GBK"/>
        </w:rPr>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_Toc31391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rPr>
        <w:t>附 件</w:t>
      </w:r>
      <w:r>
        <w:rPr>
          <w:rFonts w:hint="eastAsia" w:ascii="方正楷体_GBK" w:hAnsi="方正楷体_GBK" w:eastAsia="方正楷体_GBK" w:cs="方正楷体_GBK"/>
          <w:lang w:val="en-US" w:eastAsia="zh-CN"/>
        </w:rPr>
        <w:t>3</w:t>
      </w:r>
      <w:r>
        <w:rPr>
          <w:rFonts w:hint="eastAsia" w:ascii="方正楷体_GBK" w:hAnsi="方正楷体_GBK" w:eastAsia="方正楷体_GBK" w:cs="方正楷体_GBK"/>
        </w:rPr>
        <w:t>：三年内无重大违纪声明</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_Toc31391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36</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10"/>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pPr>
      <w:r>
        <w:rPr>
          <w:rFonts w:hint="eastAsia" w:ascii="方正楷体_GBK" w:hAnsi="方正楷体_GBK" w:eastAsia="方正楷体_GBK" w:cs="方正楷体_GBK"/>
          <w:szCs w:val="28"/>
        </w:rPr>
        <w:fldChar w:fldCharType="begin"/>
      </w:r>
      <w:r>
        <w:rPr>
          <w:rFonts w:hint="eastAsia" w:ascii="方正楷体_GBK" w:hAnsi="方正楷体_GBK" w:eastAsia="方正楷体_GBK" w:cs="方正楷体_GBK"/>
          <w:szCs w:val="28"/>
        </w:rPr>
        <w:instrText xml:space="preserve"> HYPERLINK \l _Toc19093 </w:instrText>
      </w:r>
      <w:r>
        <w:rPr>
          <w:rFonts w:hint="eastAsia" w:ascii="方正楷体_GBK" w:hAnsi="方正楷体_GBK" w:eastAsia="方正楷体_GBK" w:cs="方正楷体_GBK"/>
          <w:szCs w:val="28"/>
        </w:rPr>
        <w:fldChar w:fldCharType="separate"/>
      </w:r>
      <w:r>
        <w:rPr>
          <w:rFonts w:hint="eastAsia" w:ascii="方正楷体_GBK" w:hAnsi="方正楷体_GBK" w:eastAsia="方正楷体_GBK" w:cs="方正楷体_GBK"/>
          <w:bCs w:val="0"/>
          <w:kern w:val="2"/>
          <w:szCs w:val="21"/>
          <w:lang w:val="en-US" w:eastAsia="zh-CN" w:bidi="ar-SA"/>
        </w:rPr>
        <w:t>附 件4：中小企业声明函格式</w:t>
      </w:r>
      <w:r>
        <w:rPr>
          <w:rFonts w:hint="eastAsia" w:ascii="方正楷体_GBK" w:hAnsi="方正楷体_GBK" w:eastAsia="方正楷体_GBK" w:cs="方正楷体_GBK"/>
        </w:rPr>
        <w:tab/>
      </w:r>
      <w:r>
        <w:rPr>
          <w:rFonts w:hint="eastAsia" w:ascii="方正楷体_GBK" w:hAnsi="方正楷体_GBK" w:eastAsia="方正楷体_GBK" w:cs="方正楷体_GBK"/>
        </w:rPr>
        <w:fldChar w:fldCharType="begin"/>
      </w:r>
      <w:r>
        <w:rPr>
          <w:rFonts w:hint="eastAsia" w:ascii="方正楷体_GBK" w:hAnsi="方正楷体_GBK" w:eastAsia="方正楷体_GBK" w:cs="方正楷体_GBK"/>
        </w:rPr>
        <w:instrText xml:space="preserve"> PAGEREF _Toc19093 </w:instrText>
      </w:r>
      <w:r>
        <w:rPr>
          <w:rFonts w:hint="eastAsia" w:ascii="方正楷体_GBK" w:hAnsi="方正楷体_GBK" w:eastAsia="方正楷体_GBK" w:cs="方正楷体_GBK"/>
        </w:rPr>
        <w:fldChar w:fldCharType="separate"/>
      </w:r>
      <w:r>
        <w:rPr>
          <w:rFonts w:hint="eastAsia" w:ascii="方正楷体_GBK" w:hAnsi="方正楷体_GBK" w:eastAsia="方正楷体_GBK" w:cs="方正楷体_GBK"/>
        </w:rPr>
        <w:t>37</w:t>
      </w:r>
      <w:r>
        <w:rPr>
          <w:rFonts w:hint="eastAsia" w:ascii="方正楷体_GBK" w:hAnsi="方正楷体_GBK" w:eastAsia="方正楷体_GBK" w:cs="方正楷体_GBK"/>
        </w:rPr>
        <w:fldChar w:fldCharType="end"/>
      </w:r>
      <w:r>
        <w:rPr>
          <w:rFonts w:hint="eastAsia" w:ascii="方正楷体_GBK" w:hAnsi="方正楷体_GBK" w:eastAsia="方正楷体_GBK" w:cs="方正楷体_GBK"/>
          <w:szCs w:val="28"/>
        </w:rPr>
        <w:fldChar w:fldCharType="end"/>
      </w:r>
    </w:p>
    <w:p>
      <w:pPr>
        <w:pStyle w:val="9"/>
        <w:keepNext w:val="0"/>
        <w:keepLines w:val="0"/>
        <w:pageBreakBefore w:val="0"/>
        <w:widowControl w:val="0"/>
        <w:tabs>
          <w:tab w:val="right" w:leader="dot" w:pos="8306"/>
          <w:tab w:val="clear" w:pos="8720"/>
        </w:tabs>
        <w:kinsoku/>
        <w:wordWrap/>
        <w:overflowPunct/>
        <w:topLinePunct w:val="0"/>
        <w:autoSpaceDE/>
        <w:autoSpaceDN/>
        <w:bidi w:val="0"/>
        <w:adjustRightInd/>
        <w:snapToGrid/>
        <w:spacing w:line="360" w:lineRule="exact"/>
        <w:ind w:firstLine="0" w:firstLineChars="0"/>
        <w:jc w:val="center"/>
        <w:textAlignment w:val="auto"/>
        <w:outlineLvl w:val="2"/>
        <w:rPr>
          <w:rFonts w:ascii="楷体" w:hAnsi="楷体" w:eastAsia="楷体" w:cs="楷体"/>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1"/>
          <w:cols w:space="720" w:num="1"/>
          <w:titlePg/>
          <w:docGrid w:type="lines" w:linePitch="312" w:charSpace="0"/>
        </w:sectPr>
      </w:pPr>
      <w:r>
        <w:rPr>
          <w:rFonts w:hint="eastAsia" w:ascii="方正仿宋_GBK" w:hAnsi="方正仿宋_GBK" w:eastAsia="方正仿宋_GBK" w:cs="方正仿宋_GBK"/>
          <w:szCs w:val="28"/>
        </w:rPr>
        <w:fldChar w:fldCharType="end"/>
      </w:r>
      <w:bookmarkStart w:id="6" w:name="_Toc324237145"/>
      <w:bookmarkStart w:id="7" w:name="_Toc31882"/>
      <w:bookmarkStart w:id="8" w:name="_Toc10896"/>
    </w:p>
    <w:p>
      <w:pPr>
        <w:pStyle w:val="3"/>
        <w:bidi w:val="0"/>
      </w:pPr>
      <w:bookmarkStart w:id="9" w:name="_Toc5406"/>
      <w:r>
        <w:rPr>
          <w:rFonts w:hint="eastAsia"/>
        </w:rPr>
        <w:t xml:space="preserve">第一章  </w:t>
      </w:r>
      <w:bookmarkEnd w:id="0"/>
      <w:bookmarkEnd w:id="6"/>
      <w:bookmarkEnd w:id="7"/>
      <w:bookmarkEnd w:id="8"/>
      <w:r>
        <w:rPr>
          <w:rFonts w:hint="eastAsia"/>
        </w:rPr>
        <w:t>采购邀请</w:t>
      </w:r>
      <w:bookmarkEnd w:id="9"/>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楷体" w:hAnsi="楷体" w:eastAsia="楷体" w:cs="楷体"/>
          <w:b/>
          <w:bCs/>
          <w:sz w:val="24"/>
          <w:szCs w:val="24"/>
        </w:rPr>
      </w:pPr>
      <w:r>
        <w:rPr>
          <w:rFonts w:hint="eastAsia" w:ascii="楷体" w:hAnsi="楷体" w:eastAsia="楷体" w:cs="楷体"/>
          <w:sz w:val="24"/>
          <w:szCs w:val="24"/>
        </w:rPr>
        <w:t>南京交通职业技术学院物资采购管件的供应理办公室受</w:t>
      </w:r>
      <w:r>
        <w:rPr>
          <w:rFonts w:hint="eastAsia" w:ascii="楷体" w:hAnsi="楷体" w:eastAsia="楷体" w:cs="楷体"/>
          <w:b/>
          <w:bCs/>
          <w:sz w:val="24"/>
          <w:szCs w:val="24"/>
          <w:lang w:val="en-US" w:eastAsia="zh-CN"/>
        </w:rPr>
        <w:t>信息化建设与管理办公室</w:t>
      </w:r>
      <w:r>
        <w:rPr>
          <w:rFonts w:hint="eastAsia" w:ascii="楷体" w:hAnsi="楷体" w:eastAsia="楷体" w:cs="楷体"/>
          <w:sz w:val="24"/>
          <w:szCs w:val="24"/>
        </w:rPr>
        <w:t>的委托，就</w:t>
      </w: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r>
        <w:rPr>
          <w:rFonts w:hint="eastAsia" w:ascii="楷体" w:hAnsi="楷体" w:eastAsia="楷体" w:cs="楷体"/>
          <w:sz w:val="24"/>
          <w:szCs w:val="24"/>
        </w:rPr>
        <w:t>实施</w:t>
      </w:r>
      <w:r>
        <w:rPr>
          <w:rFonts w:hint="eastAsia" w:ascii="楷体" w:hAnsi="楷体" w:eastAsia="楷体" w:cs="楷体"/>
          <w:b/>
          <w:bCs/>
          <w:sz w:val="24"/>
          <w:szCs w:val="24"/>
        </w:rPr>
        <w:t>竞争性磋商</w:t>
      </w:r>
      <w:r>
        <w:rPr>
          <w:rFonts w:hint="eastAsia" w:ascii="楷体" w:hAnsi="楷体" w:eastAsia="楷体" w:cs="楷体"/>
          <w:sz w:val="24"/>
          <w:szCs w:val="24"/>
        </w:rPr>
        <w:t>采购，欢迎符合条商参加磋商。</w:t>
      </w:r>
    </w:p>
    <w:p>
      <w:pPr>
        <w:pStyle w:val="4"/>
        <w:bidi w:val="0"/>
        <w:rPr>
          <w:rFonts w:hint="eastAsia"/>
        </w:rPr>
      </w:pPr>
      <w:bookmarkStart w:id="10" w:name="_Toc27034"/>
      <w:r>
        <w:rPr>
          <w:rFonts w:hint="eastAsia"/>
        </w:rPr>
        <w:t>一、采购项目简要说明</w:t>
      </w:r>
      <w:bookmarkEnd w:id="10"/>
    </w:p>
    <w:tbl>
      <w:tblPr>
        <w:tblStyle w:val="12"/>
        <w:tblW w:w="84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1762"/>
        <w:gridCol w:w="61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blHeader/>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序号</w:t>
            </w:r>
          </w:p>
        </w:tc>
        <w:tc>
          <w:tcPr>
            <w:tcW w:w="1762"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项目</w:t>
            </w:r>
          </w:p>
        </w:tc>
        <w:tc>
          <w:tcPr>
            <w:tcW w:w="6157"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具 体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项目名称</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b/>
                <w:bCs/>
                <w:sz w:val="24"/>
                <w:szCs w:val="24"/>
              </w:rPr>
              <w:t>南京交通职业技术学院</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2</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采购方式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b/>
                <w:bCs/>
                <w:sz w:val="24"/>
                <w:szCs w:val="24"/>
              </w:rPr>
              <w:t>竞争性磋商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3</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采购编号</w:t>
            </w:r>
          </w:p>
        </w:tc>
        <w:tc>
          <w:tcPr>
            <w:tcW w:w="6157" w:type="dxa"/>
            <w:noWrap w:val="0"/>
            <w:vAlign w:val="center"/>
          </w:tcPr>
          <w:p>
            <w:pPr>
              <w:snapToGrid w:val="0"/>
              <w:rPr>
                <w:rFonts w:hint="default" w:ascii="楷体" w:hAnsi="楷体" w:eastAsia="楷体" w:cs="楷体"/>
                <w:sz w:val="24"/>
                <w:szCs w:val="24"/>
                <w:lang w:val="en-US" w:eastAsia="zh-CN"/>
              </w:rPr>
            </w:pPr>
            <w:r>
              <w:rPr>
                <w:rFonts w:ascii="楷体" w:hAnsi="楷体" w:eastAsia="楷体" w:cs="楷体"/>
                <w:b/>
                <w:bCs/>
                <w:sz w:val="24"/>
                <w:szCs w:val="24"/>
              </w:rPr>
              <w:t>JY2020</w:t>
            </w:r>
            <w:r>
              <w:rPr>
                <w:rFonts w:hint="eastAsia" w:ascii="楷体" w:hAnsi="楷体" w:eastAsia="楷体" w:cs="楷体"/>
                <w:b/>
                <w:bCs/>
                <w:sz w:val="24"/>
                <w:szCs w:val="24"/>
                <w:lang w:val="en-US" w:eastAsia="zh-CN"/>
              </w:rPr>
              <w:t>072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6"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4</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分包号</w:t>
            </w:r>
          </w:p>
        </w:tc>
        <w:tc>
          <w:tcPr>
            <w:tcW w:w="6157" w:type="dxa"/>
            <w:noWrap w:val="0"/>
            <w:vAlign w:val="center"/>
          </w:tcPr>
          <w:p>
            <w:pPr>
              <w:shd w:val="clear" w:color="auto" w:fill="FFFFFF"/>
              <w:snapToGrid w:val="0"/>
              <w:rPr>
                <w:rFonts w:hint="eastAsia" w:ascii="楷体" w:hAnsi="楷体" w:eastAsia="楷体" w:cs="楷体"/>
                <w:sz w:val="24"/>
                <w:szCs w:val="24"/>
              </w:rPr>
            </w:pPr>
            <w:r>
              <w:rPr>
                <w:rFonts w:hint="eastAsia" w:ascii="楷体" w:hAnsi="楷体" w:eastAsia="楷体" w:cs="楷体"/>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5</w:t>
            </w:r>
          </w:p>
        </w:tc>
        <w:tc>
          <w:tcPr>
            <w:tcW w:w="1762" w:type="dxa"/>
            <w:noWrap w:val="0"/>
            <w:vAlign w:val="center"/>
          </w:tcPr>
          <w:p>
            <w:pPr>
              <w:snapToGrid w:val="0"/>
              <w:ind w:right="102"/>
              <w:rPr>
                <w:rFonts w:ascii="楷体" w:hAnsi="楷体" w:eastAsia="楷体" w:cs="楷体"/>
                <w:sz w:val="24"/>
                <w:szCs w:val="24"/>
              </w:rPr>
            </w:pPr>
            <w:r>
              <w:rPr>
                <w:rFonts w:hint="eastAsia" w:ascii="楷体" w:hAnsi="楷体" w:eastAsia="楷体" w:cs="楷体"/>
                <w:sz w:val="24"/>
                <w:szCs w:val="24"/>
              </w:rPr>
              <w:t>采购人</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南京交通职业技术学院</w:t>
            </w:r>
          </w:p>
          <w:p>
            <w:pPr>
              <w:snapToGrid w:val="0"/>
              <w:rPr>
                <w:rFonts w:ascii="楷体" w:hAnsi="楷体" w:eastAsia="楷体" w:cs="楷体"/>
                <w:sz w:val="24"/>
                <w:szCs w:val="24"/>
              </w:rPr>
            </w:pPr>
            <w:r>
              <w:rPr>
                <w:rFonts w:hint="eastAsia" w:ascii="楷体" w:hAnsi="楷体" w:eastAsia="楷体" w:cs="楷体"/>
                <w:sz w:val="24"/>
                <w:szCs w:val="24"/>
              </w:rPr>
              <w:t>联系人：丁老师   电话：025-86115963</w:t>
            </w:r>
          </w:p>
          <w:p>
            <w:pPr>
              <w:snapToGrid w:val="0"/>
              <w:rPr>
                <w:rFonts w:ascii="楷体" w:hAnsi="楷体" w:eastAsia="华文楷体" w:cs="楷体"/>
                <w:sz w:val="24"/>
                <w:szCs w:val="24"/>
              </w:rPr>
            </w:pPr>
            <w:r>
              <w:rPr>
                <w:rFonts w:hint="eastAsia" w:ascii="楷体" w:hAnsi="楷体" w:eastAsia="楷体" w:cs="楷体"/>
                <w:sz w:val="24"/>
                <w:szCs w:val="24"/>
              </w:rPr>
              <w:t>地址：</w:t>
            </w:r>
            <w:r>
              <w:rPr>
                <w:rFonts w:hint="eastAsia" w:ascii="华文楷体" w:hAnsi="华文楷体" w:eastAsia="华文楷体" w:cs="华文楷体"/>
                <w:sz w:val="24"/>
                <w:szCs w:val="24"/>
              </w:rPr>
              <w:t>南京市江宁区龙眠大道629号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ind w:right="102"/>
              <w:jc w:val="center"/>
              <w:rPr>
                <w:rFonts w:ascii="楷体" w:hAnsi="楷体" w:eastAsia="楷体" w:cs="楷体"/>
                <w:sz w:val="24"/>
                <w:szCs w:val="24"/>
              </w:rPr>
            </w:pPr>
            <w:r>
              <w:rPr>
                <w:rFonts w:hint="eastAsia" w:ascii="楷体" w:hAnsi="楷体" w:eastAsia="楷体" w:cs="楷体"/>
                <w:sz w:val="24"/>
                <w:szCs w:val="24"/>
              </w:rPr>
              <w:t>6</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采购项目简要说明、预算金额</w:t>
            </w:r>
          </w:p>
        </w:tc>
        <w:tc>
          <w:tcPr>
            <w:tcW w:w="6157" w:type="dxa"/>
            <w:noWrap w:val="0"/>
            <w:vAlign w:val="center"/>
          </w:tcPr>
          <w:p>
            <w:pPr>
              <w:numPr>
                <w:ilvl w:val="0"/>
                <w:numId w:val="2"/>
              </w:num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项目概况：</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南京交通职业技术学院拟对</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r>
              <w:rPr>
                <w:rFonts w:hint="eastAsia" w:ascii="楷体" w:hAnsi="楷体" w:eastAsia="楷体" w:cs="楷体"/>
                <w:sz w:val="24"/>
                <w:szCs w:val="24"/>
              </w:rPr>
              <w:t>实施竞争性磋商采购。由成交供应商按采购人要求进行</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服务。</w:t>
            </w:r>
          </w:p>
          <w:p>
            <w:pPr>
              <w:shd w:val="clear" w:color="auto" w:fill="FFFFFF"/>
              <w:tabs>
                <w:tab w:val="left" w:pos="312"/>
              </w:tabs>
              <w:snapToGrid w:val="0"/>
              <w:rPr>
                <w:rFonts w:hint="eastAsia" w:ascii="楷体" w:hAnsi="楷体" w:eastAsia="楷体" w:cs="楷体"/>
                <w:b/>
                <w:bCs/>
                <w:sz w:val="24"/>
                <w:szCs w:val="24"/>
              </w:rPr>
            </w:pPr>
            <w:r>
              <w:rPr>
                <w:rFonts w:hint="eastAsia" w:ascii="楷体" w:hAnsi="楷体" w:eastAsia="楷体" w:cs="楷体"/>
                <w:b/>
                <w:bCs/>
                <w:sz w:val="24"/>
                <w:szCs w:val="24"/>
              </w:rPr>
              <w:t>2、项目预算：人民币</w:t>
            </w:r>
            <w:r>
              <w:rPr>
                <w:rFonts w:hint="eastAsia" w:ascii="楷体" w:hAnsi="楷体" w:eastAsia="楷体" w:cs="楷体"/>
                <w:b/>
                <w:bCs/>
                <w:sz w:val="24"/>
                <w:szCs w:val="24"/>
                <w:lang w:val="en-US" w:eastAsia="zh-CN"/>
              </w:rPr>
              <w:t>18.5</w:t>
            </w:r>
            <w:r>
              <w:rPr>
                <w:rFonts w:hint="eastAsia" w:ascii="楷体" w:hAnsi="楷体" w:eastAsia="楷体" w:cs="楷体"/>
                <w:b/>
                <w:bCs/>
                <w:sz w:val="24"/>
                <w:szCs w:val="24"/>
              </w:rPr>
              <w:t>万元整</w:t>
            </w:r>
          </w:p>
          <w:p>
            <w:pPr>
              <w:shd w:val="clear" w:color="auto" w:fill="FFFFFF"/>
              <w:tabs>
                <w:tab w:val="left" w:pos="312"/>
              </w:tabs>
              <w:snapToGrid w:val="0"/>
              <w:ind w:firstLine="480" w:firstLineChars="200"/>
              <w:rPr>
                <w:rFonts w:hint="eastAsia" w:ascii="楷体" w:hAnsi="楷体" w:eastAsia="楷体" w:cs="楷体"/>
                <w:sz w:val="24"/>
                <w:szCs w:val="24"/>
              </w:rPr>
            </w:pPr>
            <w:r>
              <w:rPr>
                <w:rFonts w:hint="eastAsia" w:ascii="楷体" w:hAnsi="楷体" w:eastAsia="楷体" w:cs="楷体"/>
                <w:sz w:val="24"/>
                <w:szCs w:val="24"/>
              </w:rPr>
              <w:t>磋商小组进行综合评分后，按评审后得分由高到低顺序排列，根据综合评分后的排名顺序现场确定排名第一的供应商为成交供应商。如出现供应商弃标或出现依据法律法规应取消成交资格的情况，按照综合评分后的排名顺序依次递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7</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保证金</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保证金金额：</w:t>
            </w:r>
            <w:r>
              <w:rPr>
                <w:rFonts w:hint="eastAsia" w:ascii="楷体" w:hAnsi="楷体" w:eastAsia="楷体" w:cs="楷体"/>
                <w:b/>
                <w:bCs/>
                <w:sz w:val="24"/>
                <w:szCs w:val="24"/>
              </w:rPr>
              <w:t>人民币叁仟元整</w:t>
            </w:r>
          </w:p>
          <w:p>
            <w:pPr>
              <w:snapToGrid w:val="0"/>
              <w:rPr>
                <w:rFonts w:ascii="楷体" w:hAnsi="楷体" w:eastAsia="楷体" w:cs="楷体"/>
                <w:sz w:val="24"/>
                <w:szCs w:val="24"/>
              </w:rPr>
            </w:pPr>
            <w:r>
              <w:rPr>
                <w:rFonts w:hint="eastAsia" w:ascii="楷体" w:hAnsi="楷体" w:eastAsia="楷体" w:cs="楷体"/>
                <w:sz w:val="24"/>
                <w:szCs w:val="24"/>
              </w:rPr>
              <w:t>保证金形式：现金形式（信封封号，现场收取）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3" w:type="dxa"/>
            <w:noWrap w:val="0"/>
            <w:vAlign w:val="center"/>
          </w:tcPr>
          <w:p>
            <w:pPr>
              <w:snapToGrid w:val="0"/>
              <w:jc w:val="center"/>
              <w:rPr>
                <w:rFonts w:ascii="楷体" w:hAnsi="楷体" w:eastAsia="楷体" w:cs="楷体"/>
                <w:sz w:val="24"/>
                <w:szCs w:val="24"/>
              </w:rPr>
            </w:pPr>
            <w:r>
              <w:rPr>
                <w:rFonts w:hint="eastAsia" w:ascii="楷体" w:hAnsi="楷体" w:eastAsia="楷体" w:cs="楷体"/>
                <w:sz w:val="24"/>
                <w:szCs w:val="24"/>
              </w:rPr>
              <w:t>8</w:t>
            </w:r>
          </w:p>
        </w:tc>
        <w:tc>
          <w:tcPr>
            <w:tcW w:w="1762" w:type="dxa"/>
            <w:noWrap w:val="0"/>
            <w:vAlign w:val="center"/>
          </w:tcPr>
          <w:p>
            <w:pPr>
              <w:shd w:val="clear" w:color="auto" w:fill="FFFFFF"/>
              <w:tabs>
                <w:tab w:val="left" w:pos="312"/>
              </w:tabs>
              <w:snapToGrid w:val="0"/>
              <w:rPr>
                <w:rFonts w:hint="eastAsia" w:ascii="楷体" w:hAnsi="楷体" w:eastAsia="楷体" w:cs="楷体"/>
                <w:sz w:val="24"/>
                <w:szCs w:val="24"/>
              </w:rPr>
            </w:pPr>
            <w:r>
              <w:rPr>
                <w:rFonts w:hint="eastAsia" w:ascii="楷体" w:hAnsi="楷体" w:eastAsia="楷体" w:cs="楷体"/>
                <w:sz w:val="24"/>
                <w:szCs w:val="24"/>
              </w:rPr>
              <w:t>响应文件接收</w:t>
            </w:r>
          </w:p>
        </w:tc>
        <w:tc>
          <w:tcPr>
            <w:tcW w:w="6157" w:type="dxa"/>
            <w:noWrap w:val="0"/>
            <w:vAlign w:val="center"/>
          </w:tcPr>
          <w:p>
            <w:pPr>
              <w:shd w:val="clear" w:color="auto" w:fill="FFFFFF"/>
              <w:tabs>
                <w:tab w:val="left" w:pos="312"/>
              </w:tabs>
              <w:snapToGrid w:val="0"/>
              <w:rPr>
                <w:rFonts w:hint="default" w:ascii="楷体" w:hAnsi="楷体" w:eastAsia="楷体" w:cs="楷体"/>
                <w:sz w:val="24"/>
                <w:szCs w:val="24"/>
                <w:lang w:val="en-US" w:eastAsia="zh-CN"/>
              </w:rPr>
            </w:pPr>
            <w:r>
              <w:rPr>
                <w:rFonts w:hint="eastAsia" w:ascii="楷体" w:hAnsi="楷体" w:eastAsia="楷体" w:cs="楷体"/>
                <w:sz w:val="24"/>
                <w:szCs w:val="24"/>
              </w:rPr>
              <w:t>接收响应文件时间</w:t>
            </w:r>
            <w:r>
              <w:rPr>
                <w:rFonts w:hint="eastAsia" w:ascii="楷体" w:hAnsi="楷体" w:eastAsia="楷体" w:cs="楷体"/>
                <w:b/>
                <w:bCs/>
                <w:sz w:val="24"/>
                <w:szCs w:val="24"/>
              </w:rPr>
              <w:t>：2020年</w:t>
            </w:r>
            <w:r>
              <w:rPr>
                <w:rFonts w:hint="eastAsia" w:ascii="楷体" w:hAnsi="楷体" w:eastAsia="楷体" w:cs="楷体"/>
                <w:b/>
                <w:bCs/>
                <w:sz w:val="24"/>
                <w:szCs w:val="24"/>
                <w:lang w:val="en-US" w:eastAsia="zh-CN"/>
              </w:rPr>
              <w:t>8</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31</w:t>
            </w:r>
            <w:r>
              <w:rPr>
                <w:rFonts w:hint="eastAsia" w:ascii="楷体" w:hAnsi="楷体" w:eastAsia="楷体" w:cs="楷体"/>
                <w:b/>
                <w:bCs/>
                <w:sz w:val="24"/>
                <w:szCs w:val="24"/>
              </w:rPr>
              <w:t>日</w:t>
            </w:r>
            <w:r>
              <w:rPr>
                <w:rFonts w:hint="eastAsia" w:ascii="楷体" w:hAnsi="楷体" w:eastAsia="楷体" w:cs="楷体"/>
                <w:b/>
                <w:bCs/>
                <w:sz w:val="24"/>
                <w:szCs w:val="24"/>
                <w:lang w:val="en-US" w:eastAsia="zh-CN"/>
              </w:rPr>
              <w:t>下午2：00</w:t>
            </w:r>
          </w:p>
          <w:p>
            <w:pPr>
              <w:shd w:val="clear" w:color="auto" w:fill="FFFFFF"/>
              <w:tabs>
                <w:tab w:val="left" w:pos="312"/>
              </w:tabs>
              <w:snapToGrid w:val="0"/>
              <w:rPr>
                <w:rFonts w:ascii="楷体" w:hAnsi="楷体" w:eastAsia="楷体" w:cs="楷体"/>
                <w:sz w:val="24"/>
                <w:szCs w:val="24"/>
              </w:rPr>
            </w:pPr>
            <w:r>
              <w:rPr>
                <w:rFonts w:hint="eastAsia" w:ascii="楷体" w:hAnsi="楷体" w:eastAsia="楷体" w:cs="楷体"/>
                <w:sz w:val="24"/>
                <w:szCs w:val="24"/>
              </w:rPr>
              <w:t>接收地点：南京市江宁区龙眠大道629号南京交通职业技术学院弘毅楼217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9</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响应文件数量</w:t>
            </w:r>
          </w:p>
        </w:tc>
        <w:tc>
          <w:tcPr>
            <w:tcW w:w="6157"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正本份数：1份</w:t>
            </w:r>
          </w:p>
          <w:p>
            <w:pPr>
              <w:snapToGrid w:val="0"/>
              <w:rPr>
                <w:rFonts w:hint="eastAsia" w:ascii="楷体" w:hAnsi="楷体" w:eastAsia="楷体" w:cs="楷体"/>
                <w:sz w:val="24"/>
                <w:szCs w:val="24"/>
              </w:rPr>
            </w:pPr>
            <w:r>
              <w:rPr>
                <w:rFonts w:hint="eastAsia" w:ascii="楷体" w:hAnsi="楷体" w:eastAsia="楷体" w:cs="楷体"/>
                <w:sz w:val="24"/>
                <w:szCs w:val="24"/>
              </w:rPr>
              <w:t>副本份数：2份  电子文档1份（U盘与正本单独封装）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10</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报名方式时间</w:t>
            </w:r>
          </w:p>
        </w:tc>
        <w:tc>
          <w:tcPr>
            <w:tcW w:w="6157" w:type="dxa"/>
            <w:noWrap w:val="0"/>
            <w:vAlign w:val="top"/>
          </w:tcPr>
          <w:p>
            <w:pPr>
              <w:spacing w:line="324" w:lineRule="auto"/>
              <w:ind w:left="720" w:hanging="720" w:hangingChars="300"/>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sz w:val="24"/>
                <w:szCs w:val="24"/>
              </w:rPr>
              <w:fldChar w:fldCharType="separate"/>
            </w:r>
            <w:r>
              <w:rPr>
                <w:rFonts w:hint="eastAsia" w:ascii="楷体" w:hAnsi="楷体" w:eastAsia="楷体" w:cs="楷体"/>
                <w:sz w:val="24"/>
                <w:szCs w:val="24"/>
              </w:rPr>
              <w:t>凡有意参加的响应商，请于</w:t>
            </w:r>
            <w:r>
              <w:rPr>
                <w:rFonts w:hint="eastAsia" w:ascii="楷体" w:hAnsi="楷体" w:eastAsia="楷体" w:cs="楷体"/>
                <w:b/>
                <w:bCs/>
                <w:sz w:val="24"/>
                <w:szCs w:val="24"/>
              </w:rPr>
              <w:t>2020年</w:t>
            </w:r>
            <w:r>
              <w:rPr>
                <w:rFonts w:hint="eastAsia" w:ascii="楷体" w:hAnsi="楷体" w:eastAsia="楷体" w:cs="楷体"/>
                <w:b/>
                <w:bCs/>
                <w:sz w:val="24"/>
                <w:szCs w:val="24"/>
                <w:lang w:val="en-US" w:eastAsia="zh-CN"/>
              </w:rPr>
              <w:t>8</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28日</w:t>
            </w:r>
            <w:r>
              <w:rPr>
                <w:rFonts w:hint="eastAsia" w:ascii="楷体" w:hAnsi="楷体" w:eastAsia="楷体" w:cs="楷体"/>
                <w:sz w:val="24"/>
                <w:szCs w:val="24"/>
                <w:lang w:val="en-US" w:eastAsia="zh-CN"/>
              </w:rPr>
              <w:t xml:space="preserve"> </w:t>
            </w:r>
            <w:r>
              <w:rPr>
                <w:rFonts w:hint="eastAsia" w:ascii="楷体" w:hAnsi="楷体" w:eastAsia="楷体" w:cs="楷体"/>
                <w:sz w:val="24"/>
                <w:szCs w:val="24"/>
              </w:rPr>
              <w:t>前将确认</w:t>
            </w:r>
          </w:p>
          <w:p>
            <w:pPr>
              <w:spacing w:line="324" w:lineRule="auto"/>
              <w:rPr>
                <w:rFonts w:hint="eastAsia" w:ascii="楷体" w:hAnsi="楷体" w:eastAsia="楷体" w:cs="楷体"/>
                <w:sz w:val="24"/>
                <w:szCs w:val="24"/>
              </w:rPr>
            </w:pPr>
            <w:r>
              <w:rPr>
                <w:rFonts w:hint="eastAsia" w:ascii="楷体" w:hAnsi="楷体" w:eastAsia="楷体" w:cs="楷体"/>
                <w:sz w:val="24"/>
                <w:szCs w:val="24"/>
              </w:rPr>
              <w:t>发送至邮箱cgb@njitt.edu.cn，采购办不接受没有报名认</w:t>
            </w:r>
          </w:p>
          <w:p>
            <w:pPr>
              <w:spacing w:line="324" w:lineRule="auto"/>
              <w:ind w:left="720" w:hanging="720" w:hangingChars="300"/>
              <w:rPr>
                <w:rFonts w:ascii="楷体" w:hAnsi="楷体" w:eastAsia="楷体" w:cs="楷体"/>
                <w:sz w:val="24"/>
                <w:szCs w:val="24"/>
              </w:rPr>
            </w:pPr>
            <w:r>
              <w:rPr>
                <w:rFonts w:hint="eastAsia" w:ascii="楷体" w:hAnsi="楷体" w:eastAsia="楷体" w:cs="楷体"/>
                <w:sz w:val="24"/>
                <w:szCs w:val="24"/>
              </w:rPr>
              <w:t>的响应文件。</w:t>
            </w:r>
            <w:r>
              <w:rPr>
                <w:rFonts w:hint="eastAsia" w:ascii="楷体" w:hAnsi="楷体" w:eastAsia="楷体" w:cs="楷体"/>
                <w:sz w:val="24"/>
                <w:szCs w:val="24"/>
              </w:rPr>
              <w:fldChar w:fldCharType="end"/>
            </w:r>
            <w:r>
              <w:rPr>
                <w:rFonts w:hint="eastAsia" w:ascii="楷体" w:hAnsi="楷体" w:eastAsia="楷体" w:cs="楷体"/>
                <w:sz w:val="24"/>
                <w:szCs w:val="24"/>
              </w:rPr>
              <w:t>邮件主题为公司名称+项目名称。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543" w:type="dxa"/>
            <w:noWrap w:val="0"/>
            <w:vAlign w:val="center"/>
          </w:tcPr>
          <w:p>
            <w:pPr>
              <w:snapToGrid w:val="0"/>
              <w:jc w:val="center"/>
              <w:rPr>
                <w:rFonts w:hint="eastAsia" w:ascii="楷体" w:hAnsi="楷体" w:eastAsia="楷体" w:cs="楷体"/>
                <w:sz w:val="24"/>
                <w:szCs w:val="24"/>
              </w:rPr>
            </w:pPr>
            <w:r>
              <w:rPr>
                <w:rFonts w:hint="eastAsia" w:ascii="楷体" w:hAnsi="楷体" w:eastAsia="楷体" w:cs="楷体"/>
                <w:sz w:val="24"/>
                <w:szCs w:val="24"/>
              </w:rPr>
              <w:t>11</w:t>
            </w:r>
          </w:p>
        </w:tc>
        <w:tc>
          <w:tcPr>
            <w:tcW w:w="1762" w:type="dxa"/>
            <w:noWrap w:val="0"/>
            <w:vAlign w:val="center"/>
          </w:tcPr>
          <w:p>
            <w:pPr>
              <w:snapToGrid w:val="0"/>
              <w:rPr>
                <w:rFonts w:ascii="楷体" w:hAnsi="楷体" w:eastAsia="楷体" w:cs="楷体"/>
                <w:sz w:val="24"/>
                <w:szCs w:val="24"/>
              </w:rPr>
            </w:pPr>
            <w:r>
              <w:rPr>
                <w:rFonts w:hint="eastAsia" w:ascii="楷体" w:hAnsi="楷体" w:eastAsia="楷体" w:cs="楷体"/>
                <w:sz w:val="24"/>
                <w:szCs w:val="24"/>
              </w:rPr>
              <w:t>响应文件有效期</w:t>
            </w:r>
          </w:p>
        </w:tc>
        <w:tc>
          <w:tcPr>
            <w:tcW w:w="6157" w:type="dxa"/>
            <w:noWrap w:val="0"/>
            <w:vAlign w:val="center"/>
          </w:tcPr>
          <w:p>
            <w:pPr>
              <w:snapToGrid w:val="0"/>
              <w:rPr>
                <w:rFonts w:hint="eastAsia" w:ascii="楷体" w:hAnsi="楷体" w:eastAsia="楷体" w:cs="楷体"/>
                <w:sz w:val="24"/>
                <w:szCs w:val="24"/>
              </w:rPr>
            </w:pPr>
            <w:r>
              <w:rPr>
                <w:rFonts w:hint="eastAsia" w:ascii="楷体" w:hAnsi="楷体" w:eastAsia="楷体" w:cs="楷体"/>
                <w:sz w:val="24"/>
                <w:szCs w:val="24"/>
              </w:rPr>
              <w:t>响应截止时间后九十天</w:t>
            </w:r>
          </w:p>
        </w:tc>
      </w:tr>
    </w:tbl>
    <w:p>
      <w:pPr>
        <w:pStyle w:val="4"/>
        <w:bidi w:val="0"/>
        <w:rPr>
          <w:rFonts w:hint="eastAsia"/>
        </w:rPr>
      </w:pPr>
      <w:bookmarkStart w:id="11" w:name="_Toc10733"/>
      <w:r>
        <w:rPr>
          <w:rFonts w:hint="eastAsia"/>
        </w:rPr>
        <w:t>二、合格磋商供应商资格要求</w:t>
      </w:r>
      <w:bookmarkEnd w:id="11"/>
    </w:p>
    <w:p>
      <w:pPr>
        <w:snapToGrid w:val="0"/>
        <w:spacing w:line="360" w:lineRule="auto"/>
        <w:ind w:firstLine="420"/>
        <w:rPr>
          <w:rFonts w:ascii="楷体" w:hAnsi="楷体" w:eastAsia="楷体" w:cs="楷体"/>
          <w:sz w:val="24"/>
          <w:szCs w:val="24"/>
        </w:rPr>
      </w:pPr>
      <w:bookmarkStart w:id="12" w:name="_Toc6126"/>
      <w:r>
        <w:rPr>
          <w:rFonts w:hint="eastAsia" w:ascii="楷体" w:hAnsi="楷体" w:eastAsia="楷体" w:cs="楷体"/>
          <w:sz w:val="24"/>
          <w:szCs w:val="24"/>
        </w:rPr>
        <w:t>（一）符合政府采购法第二十二条规定的条件，并提供下列材料；</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1、磋商供应商法人或者其他组织的营业执照等证明文件，自然人的身份证明；</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2、磋商供应商具有良好的商业信誉和健全的财务会计制度，提供2019年度经审计的财务审计报告（至少包含资产负债表、利润表，成立不满一年不需提供）；</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3、磋商供应商有依法缴纳税收和社会保障资金的良好记录，提供参加本次政府采购活动近六个月（至少一个月）依法缴纳税收和社会保障资金的相关材料（根据国家相关政策免缴或迟缴的需提供相关证明材料）（事业单位或社会团体从其行业规定）；</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 xml:space="preserve">4、磋商供应商具有履行合同所必需的设备和专业技术能力（根据项目需求提供履行合同所必需的设备和专业技术能力的声明或证明材料）； </w:t>
      </w:r>
    </w:p>
    <w:p>
      <w:pPr>
        <w:snapToGrid w:val="0"/>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5、磋商供应商参加政府采购活动前3年内在经营活动中没有重大违法记录的书面声明；</w:t>
      </w:r>
    </w:p>
    <w:p>
      <w:pPr>
        <w:snapToGrid w:val="0"/>
        <w:spacing w:line="360" w:lineRule="auto"/>
        <w:ind w:firstLine="480" w:firstLineChars="200"/>
        <w:rPr>
          <w:rFonts w:hint="eastAsia" w:ascii="楷体" w:hAnsi="楷体" w:eastAsia="楷体" w:cs="楷体"/>
          <w:sz w:val="24"/>
          <w:szCs w:val="24"/>
        </w:rPr>
      </w:pPr>
      <w:r>
        <w:rPr>
          <w:rFonts w:hint="eastAsia" w:ascii="楷体" w:hAnsi="楷体" w:eastAsia="楷体" w:cs="楷体"/>
          <w:sz w:val="24"/>
          <w:szCs w:val="24"/>
        </w:rPr>
        <w:t>6、磋商供应商具备法律、行政法规规定的其他条件的证明材料。</w:t>
      </w:r>
    </w:p>
    <w:p>
      <w:pPr>
        <w:snapToGrid w:val="0"/>
        <w:spacing w:line="360" w:lineRule="auto"/>
        <w:ind w:firstLine="420"/>
        <w:rPr>
          <w:rFonts w:hint="eastAsia" w:ascii="楷体" w:hAnsi="楷体" w:eastAsia="楷体" w:cs="楷体"/>
          <w:sz w:val="24"/>
          <w:szCs w:val="24"/>
        </w:rPr>
      </w:pPr>
      <w:r>
        <w:rPr>
          <w:rFonts w:hint="eastAsia" w:ascii="楷体" w:hAnsi="楷体" w:eastAsia="楷体" w:cs="楷体"/>
          <w:sz w:val="24"/>
          <w:szCs w:val="24"/>
        </w:rPr>
        <w:t>（二）其他资格条件：</w:t>
      </w:r>
      <w:bookmarkEnd w:id="12"/>
      <w:bookmarkStart w:id="13" w:name="_Toc324237146"/>
      <w:bookmarkStart w:id="14" w:name="_Toc120614211"/>
      <w:bookmarkStart w:id="15" w:name="_Toc16747"/>
      <w:r>
        <w:rPr>
          <w:rFonts w:hint="eastAsia" w:ascii="楷体" w:hAnsi="楷体" w:eastAsia="楷体" w:cs="楷体"/>
          <w:sz w:val="24"/>
          <w:szCs w:val="24"/>
        </w:rPr>
        <w:t>无。</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（三）本项目不接受联合体参与投标。</w:t>
      </w:r>
    </w:p>
    <w:p>
      <w:pPr>
        <w:snapToGrid w:val="0"/>
        <w:spacing w:line="360" w:lineRule="auto"/>
        <w:ind w:firstLine="420"/>
        <w:rPr>
          <w:rFonts w:ascii="楷体" w:hAnsi="楷体" w:eastAsia="楷体" w:cs="楷体"/>
          <w:sz w:val="24"/>
          <w:szCs w:val="24"/>
        </w:rPr>
      </w:pPr>
      <w:r>
        <w:rPr>
          <w:rFonts w:hint="eastAsia" w:ascii="楷体" w:hAnsi="楷体" w:eastAsia="楷体" w:cs="楷体"/>
          <w:sz w:val="24"/>
          <w:szCs w:val="24"/>
        </w:rPr>
        <w:t>（四）拒绝下述供应商参加本次采购活动：</w:t>
      </w:r>
    </w:p>
    <w:p>
      <w:pPr>
        <w:snapToGrid w:val="0"/>
        <w:spacing w:line="360" w:lineRule="auto"/>
        <w:ind w:firstLine="420"/>
        <w:rPr>
          <w:rFonts w:hint="eastAsia" w:ascii="楷体" w:hAnsi="楷体" w:eastAsia="楷体" w:cs="楷体"/>
          <w:sz w:val="24"/>
          <w:szCs w:val="24"/>
        </w:rPr>
      </w:pPr>
      <w:bookmarkStart w:id="16" w:name="_Toc6196"/>
      <w:r>
        <w:rPr>
          <w:rFonts w:hint="eastAsia" w:ascii="楷体" w:hAnsi="楷体" w:eastAsia="楷体" w:cs="楷体"/>
          <w:sz w:val="24"/>
          <w:szCs w:val="24"/>
        </w:rPr>
        <w:t>1、投标供应商单位负责人为同一人或者存在直接控股、管理关系的不同供应商，不得参加同一合同项下的政府采购活动。</w:t>
      </w:r>
      <w:r>
        <w:rPr>
          <w:rFonts w:hint="eastAsia" w:ascii="楷体" w:hAnsi="楷体" w:eastAsia="楷体" w:cs="楷体"/>
          <w:sz w:val="24"/>
          <w:szCs w:val="24"/>
        </w:rPr>
        <w:br w:type="textWrapping"/>
      </w:r>
      <w:r>
        <w:rPr>
          <w:rFonts w:hint="eastAsia" w:ascii="楷体" w:hAnsi="楷体" w:eastAsia="楷体" w:cs="楷体"/>
          <w:sz w:val="24"/>
          <w:szCs w:val="24"/>
        </w:rPr>
        <w:tab/>
      </w:r>
      <w:r>
        <w:rPr>
          <w:rFonts w:hint="eastAsia" w:ascii="楷体" w:hAnsi="楷体" w:eastAsia="楷体" w:cs="楷体"/>
          <w:sz w:val="24"/>
          <w:szCs w:val="24"/>
        </w:rPr>
        <w:t> 2、投标供应商被“信用中国”网站（</w:t>
      </w:r>
      <w:r>
        <w:rPr>
          <w:rFonts w:hint="eastAsia" w:ascii="楷体" w:hAnsi="楷体" w:eastAsia="楷体" w:cs="楷体"/>
          <w:sz w:val="24"/>
          <w:szCs w:val="24"/>
        </w:rPr>
        <w:drawing>
          <wp:inline distT="0" distB="0" distL="114300" distR="114300">
            <wp:extent cx="190500" cy="142875"/>
            <wp:effectExtent l="0" t="0" r="0" b="9525"/>
            <wp:docPr id="2"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IMG_256"/>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www.creditchina.gov.cn）、“中国政府招标网"(</w:t>
      </w:r>
      <w:r>
        <w:rPr>
          <w:rFonts w:hint="eastAsia" w:ascii="楷体" w:hAnsi="楷体" w:eastAsia="楷体" w:cs="楷体"/>
          <w:sz w:val="24"/>
          <w:szCs w:val="24"/>
        </w:rPr>
        <w:drawing>
          <wp:inline distT="0" distB="0" distL="114300" distR="114300">
            <wp:extent cx="190500" cy="142875"/>
            <wp:effectExtent l="0" t="0" r="0" b="9525"/>
            <wp:docPr id="1"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IMG_257"/>
                    <pic:cNvPicPr>
                      <a:picLocks noChangeAspect="1"/>
                    </pic:cNvPicPr>
                  </pic:nvPicPr>
                  <pic:blipFill>
                    <a:blip r:embed="rId12"/>
                    <a:stretch>
                      <a:fillRect/>
                    </a:stretch>
                  </pic:blipFill>
                  <pic:spPr>
                    <a:xfrm>
                      <a:off x="0" y="0"/>
                      <a:ext cx="190500" cy="142875"/>
                    </a:xfrm>
                    <a:prstGeom prst="rect">
                      <a:avLst/>
                    </a:prstGeom>
                    <a:noFill/>
                    <a:ln>
                      <a:noFill/>
                    </a:ln>
                  </pic:spPr>
                </pic:pic>
              </a:graphicData>
            </a:graphic>
          </wp:inline>
        </w:drawing>
      </w:r>
      <w:r>
        <w:rPr>
          <w:rFonts w:hint="eastAsia" w:ascii="楷体" w:hAnsi="楷体" w:eastAsia="楷体" w:cs="楷体"/>
          <w:sz w:val="24"/>
          <w:szCs w:val="24"/>
        </w:rPr>
        <w:t>www.ccgp.gov.cn)列入失信被执行人、重大税收违法案件当事人名单、政府招标严重违法失信行为记录名单。</w:t>
      </w:r>
    </w:p>
    <w:p>
      <w:pPr>
        <w:pStyle w:val="4"/>
        <w:bidi w:val="0"/>
        <w:rPr>
          <w:rFonts w:hint="eastAsia" w:ascii="Arial" w:hAnsi="Arial"/>
          <w:b/>
        </w:rPr>
      </w:pPr>
      <w:bookmarkStart w:id="17" w:name="_Toc20365"/>
      <w:r>
        <w:rPr>
          <w:rFonts w:hint="eastAsia" w:ascii="Arial" w:hAnsi="Arial"/>
          <w:b/>
        </w:rPr>
        <w:t>三、磋商文件发布信息及报名要求</w:t>
      </w:r>
      <w:bookmarkEnd w:id="16"/>
      <w:bookmarkEnd w:id="17"/>
    </w:p>
    <w:p>
      <w:pPr>
        <w:snapToGrid w:val="0"/>
        <w:spacing w:line="360" w:lineRule="auto"/>
        <w:ind w:firstLine="480" w:firstLineChars="200"/>
        <w:jc w:val="left"/>
        <w:rPr>
          <w:rFonts w:hint="eastAsia" w:ascii="楷体" w:hAnsi="楷体" w:eastAsia="楷体" w:cs="楷体"/>
          <w:bCs/>
          <w:sz w:val="24"/>
        </w:rPr>
      </w:pPr>
      <w:r>
        <w:rPr>
          <w:rFonts w:hint="eastAsia" w:ascii="楷体" w:hAnsi="楷体" w:eastAsia="楷体" w:cs="楷体"/>
          <w:bCs/>
          <w:sz w:val="24"/>
        </w:rPr>
        <w:t>1、磋商公告在“南京交通职业技术学院采购网</w:t>
      </w:r>
      <w:r>
        <w:rPr>
          <w:rFonts w:hint="eastAsia" w:ascii="楷体" w:hAnsi="楷体" w:eastAsia="楷体" w:cs="楷体"/>
          <w:bCs/>
          <w:w w:val="80"/>
          <w:sz w:val="24"/>
        </w:rPr>
        <w:t>（http://www.njitt.edu.cn/cgw/）”</w:t>
      </w:r>
      <w:r>
        <w:rPr>
          <w:rFonts w:hint="eastAsia" w:ascii="楷体" w:hAnsi="楷体" w:eastAsia="楷体" w:cs="楷体"/>
          <w:bCs/>
          <w:sz w:val="24"/>
        </w:rPr>
        <w:t>发布，供应商如确定参加磋商，须按要求报名。</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2、报名：</w:t>
      </w:r>
      <w:r>
        <w:rPr>
          <w:rFonts w:hint="eastAsia" w:ascii="楷体" w:hAnsi="楷体" w:eastAsia="楷体" w:cs="楷体"/>
          <w:bCs/>
          <w:sz w:val="24"/>
        </w:rPr>
        <w:fldChar w:fldCharType="begin"/>
      </w:r>
      <w:r>
        <w:rPr>
          <w:rFonts w:hint="eastAsia" w:ascii="楷体" w:hAnsi="楷体" w:eastAsia="楷体" w:cs="楷体"/>
          <w:bCs/>
          <w:sz w:val="24"/>
        </w:rPr>
        <w:instrText xml:space="preserve"> HYPERLINK "mailto:凡有意参加投标者，请于2017年7月4日前将投标函发送至邮箱cgb@njitt.edu.cn，采购办不接受没有报名确认的询价文件。" </w:instrText>
      </w:r>
      <w:r>
        <w:rPr>
          <w:rFonts w:hint="eastAsia" w:ascii="楷体" w:hAnsi="楷体" w:eastAsia="楷体" w:cs="楷体"/>
          <w:bCs/>
          <w:sz w:val="24"/>
        </w:rPr>
        <w:fldChar w:fldCharType="separate"/>
      </w:r>
      <w:r>
        <w:rPr>
          <w:rFonts w:hint="eastAsia" w:ascii="楷体" w:hAnsi="楷体" w:eastAsia="楷体" w:cs="楷体"/>
          <w:bCs/>
          <w:sz w:val="24"/>
        </w:rPr>
        <w:t>凡有意参加的响应商，请于</w:t>
      </w:r>
      <w:r>
        <w:rPr>
          <w:rFonts w:hint="eastAsia" w:ascii="楷体" w:hAnsi="楷体" w:eastAsia="楷体" w:cs="楷体"/>
          <w:b/>
          <w:bCs/>
          <w:sz w:val="24"/>
          <w:szCs w:val="24"/>
        </w:rPr>
        <w:t>2020年</w:t>
      </w:r>
      <w:r>
        <w:rPr>
          <w:rFonts w:hint="eastAsia" w:ascii="楷体" w:hAnsi="楷体" w:eastAsia="楷体" w:cs="楷体"/>
          <w:b/>
          <w:bCs/>
          <w:sz w:val="24"/>
          <w:szCs w:val="24"/>
          <w:lang w:val="en-US" w:eastAsia="zh-CN"/>
        </w:rPr>
        <w:t>8</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28 日</w:t>
      </w:r>
      <w:r>
        <w:rPr>
          <w:rFonts w:hint="eastAsia" w:ascii="楷体" w:hAnsi="楷体" w:eastAsia="楷体" w:cs="楷体"/>
          <w:bCs/>
          <w:sz w:val="24"/>
        </w:rPr>
        <w:t>前将确认函发送至邮箱cgb@njitt.edu.cn，采购办不接受没有报名确认的响应文件。</w:t>
      </w:r>
      <w:r>
        <w:rPr>
          <w:rFonts w:hint="eastAsia" w:ascii="楷体" w:hAnsi="楷体" w:eastAsia="楷体" w:cs="楷体"/>
          <w:bCs/>
          <w:sz w:val="24"/>
        </w:rPr>
        <w:fldChar w:fldCharType="end"/>
      </w:r>
      <w:r>
        <w:rPr>
          <w:rFonts w:hint="eastAsia" w:ascii="楷体" w:hAnsi="楷体" w:eastAsia="楷体" w:cs="楷体"/>
          <w:bCs/>
          <w:sz w:val="24"/>
        </w:rPr>
        <w:t>邮件主题为公司名称+项目名称。</w:t>
      </w:r>
    </w:p>
    <w:p>
      <w:pPr>
        <w:pStyle w:val="4"/>
        <w:bidi w:val="0"/>
        <w:rPr>
          <w:rFonts w:hint="eastAsia" w:ascii="Arial" w:hAnsi="Arial"/>
          <w:b/>
        </w:rPr>
      </w:pPr>
      <w:bookmarkStart w:id="18" w:name="_Toc2830"/>
      <w:r>
        <w:rPr>
          <w:rFonts w:hint="eastAsia" w:ascii="Arial" w:hAnsi="Arial"/>
          <w:b/>
        </w:rPr>
        <w:t>四、响应文件</w:t>
      </w:r>
      <w:bookmarkEnd w:id="18"/>
      <w:r>
        <w:rPr>
          <w:rFonts w:hint="eastAsia" w:ascii="Arial" w:hAnsi="Arial"/>
          <w:b/>
        </w:rPr>
        <w:t xml:space="preserve">  </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1、响应文件的密封及标记要求：</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供应商应将响应文件正本和所有副本分别密封在两个文件袋（箱）中（正本一包，副本一包），并在袋（箱）上标明“正本”、“副本”字样，封口处应加盖骑缝章或授权代表签字。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2、封面格式为：</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（l）采购编号及项目名称：</w:t>
      </w:r>
    </w:p>
    <w:p>
      <w:pPr>
        <w:snapToGrid w:val="0"/>
        <w:spacing w:line="360" w:lineRule="auto"/>
        <w:ind w:firstLine="420"/>
        <w:rPr>
          <w:rFonts w:hint="eastAsia" w:ascii="楷体" w:hAnsi="楷体" w:eastAsia="楷体" w:cs="楷体"/>
          <w:bCs/>
          <w:sz w:val="24"/>
        </w:rPr>
      </w:pPr>
      <w:r>
        <w:rPr>
          <w:rFonts w:hint="eastAsia" w:ascii="楷体" w:hAnsi="楷体" w:eastAsia="楷体" w:cs="楷体"/>
          <w:bCs/>
          <w:sz w:val="24"/>
        </w:rPr>
        <w:t>（2）供应商的名称、地址、联系人、电话和传真：</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3、响应文件正、副本均须胶装，正本份数：1份，副本份数：2份，</w:t>
      </w:r>
      <w:r>
        <w:rPr>
          <w:rFonts w:hint="eastAsia" w:ascii="楷体" w:hAnsi="楷体" w:eastAsia="楷体" w:cs="楷体"/>
          <w:sz w:val="24"/>
          <w:szCs w:val="24"/>
        </w:rPr>
        <w:t>电子文档1份（U盘与正本单独封装）</w:t>
      </w:r>
      <w:r>
        <w:rPr>
          <w:rFonts w:hint="eastAsia" w:ascii="楷体" w:hAnsi="楷体" w:eastAsia="楷体" w:cs="楷体"/>
          <w:bCs/>
          <w:sz w:val="24"/>
        </w:rPr>
        <w:t>。未按要求装订，作废件处理。</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4、响应文件接收及开启时间：</w:t>
      </w:r>
      <w:r>
        <w:rPr>
          <w:rFonts w:hint="eastAsia" w:ascii="楷体" w:hAnsi="楷体" w:eastAsia="楷体" w:cs="楷体"/>
          <w:bCs/>
          <w:sz w:val="24"/>
          <w:lang w:eastAsia="zh-CN"/>
        </w:rPr>
        <w:t>接收</w:t>
      </w:r>
      <w:r>
        <w:rPr>
          <w:rFonts w:hint="eastAsia" w:ascii="楷体" w:hAnsi="楷体" w:eastAsia="楷体" w:cs="楷体"/>
          <w:b/>
          <w:bCs/>
          <w:sz w:val="24"/>
          <w:szCs w:val="24"/>
        </w:rPr>
        <w:t>2020年</w:t>
      </w:r>
      <w:r>
        <w:rPr>
          <w:rFonts w:hint="eastAsia" w:ascii="楷体" w:hAnsi="楷体" w:eastAsia="楷体" w:cs="楷体"/>
          <w:b/>
          <w:bCs/>
          <w:sz w:val="24"/>
          <w:szCs w:val="24"/>
          <w:lang w:val="en-US" w:eastAsia="zh-CN"/>
        </w:rPr>
        <w:t>8</w:t>
      </w:r>
      <w:r>
        <w:rPr>
          <w:rFonts w:hint="eastAsia" w:ascii="楷体" w:hAnsi="楷体" w:eastAsia="楷体" w:cs="楷体"/>
          <w:b/>
          <w:bCs/>
          <w:sz w:val="24"/>
          <w:szCs w:val="24"/>
        </w:rPr>
        <w:t>月</w:t>
      </w:r>
      <w:r>
        <w:rPr>
          <w:rFonts w:hint="eastAsia" w:ascii="楷体" w:hAnsi="楷体" w:eastAsia="楷体" w:cs="楷体"/>
          <w:b/>
          <w:bCs/>
          <w:sz w:val="24"/>
          <w:szCs w:val="24"/>
          <w:lang w:val="en-US" w:eastAsia="zh-CN"/>
        </w:rPr>
        <w:t xml:space="preserve"> 31 </w:t>
      </w:r>
      <w:r>
        <w:rPr>
          <w:rFonts w:hint="eastAsia" w:ascii="楷体" w:hAnsi="楷体" w:eastAsia="楷体" w:cs="楷体"/>
          <w:b/>
          <w:bCs/>
          <w:sz w:val="24"/>
          <w:szCs w:val="24"/>
        </w:rPr>
        <w:t>日</w:t>
      </w:r>
      <w:r>
        <w:rPr>
          <w:rFonts w:hint="eastAsia" w:ascii="楷体" w:hAnsi="楷体" w:eastAsia="楷体" w:cs="楷体"/>
          <w:b/>
          <w:bCs/>
          <w:sz w:val="28"/>
          <w:szCs w:val="28"/>
          <w:lang w:val="en-US" w:eastAsia="zh-CN"/>
        </w:rPr>
        <w:t>下</w:t>
      </w:r>
      <w:r>
        <w:rPr>
          <w:rFonts w:hint="eastAsia" w:ascii="楷体" w:hAnsi="楷体" w:eastAsia="楷体" w:cs="楷体"/>
          <w:b/>
          <w:bCs/>
          <w:sz w:val="24"/>
          <w:szCs w:val="24"/>
          <w:lang w:val="en-US" w:eastAsia="zh-CN"/>
        </w:rPr>
        <w:t>午2：00</w:t>
      </w:r>
      <w:r>
        <w:rPr>
          <w:rFonts w:hint="eastAsia" w:ascii="楷体" w:hAnsi="楷体" w:eastAsia="楷体" w:cs="楷体"/>
          <w:bCs/>
          <w:sz w:val="24"/>
        </w:rPr>
        <w:t xml:space="preserve"> </w:t>
      </w:r>
      <w:r>
        <w:rPr>
          <w:rFonts w:hint="eastAsia" w:ascii="楷体" w:hAnsi="楷体" w:eastAsia="楷体" w:cs="楷体"/>
          <w:bCs/>
          <w:sz w:val="24"/>
          <w:lang w:eastAsia="zh-CN"/>
        </w:rPr>
        <w:t>，开启：</w:t>
      </w:r>
      <w:r>
        <w:rPr>
          <w:rFonts w:hint="eastAsia" w:ascii="楷体" w:hAnsi="楷体" w:eastAsia="楷体" w:cs="楷体"/>
          <w:bCs/>
          <w:sz w:val="24"/>
          <w:lang w:val="en-US" w:eastAsia="zh-CN"/>
        </w:rPr>
        <w:t>2:30</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5、响应文件接收及开启地点：南京市江宁区龙眠大道629号南京交通职业技术学院弘毅楼217。提交响应文件截止时间过后，采购办组织专家与供应商进行磋商，请供应商法定代表人或其授权委托代表出席。</w:t>
      </w:r>
    </w:p>
    <w:p>
      <w:pPr>
        <w:pStyle w:val="4"/>
        <w:bidi w:val="0"/>
        <w:rPr>
          <w:rFonts w:hint="eastAsia" w:ascii="Arial" w:hAnsi="Arial"/>
          <w:b/>
        </w:rPr>
      </w:pPr>
      <w:bookmarkStart w:id="19" w:name="_Toc29400"/>
      <w:r>
        <w:rPr>
          <w:rFonts w:hint="eastAsia" w:ascii="Arial" w:hAnsi="Arial"/>
          <w:b/>
        </w:rPr>
        <w:t>五、磋商保证金</w:t>
      </w:r>
      <w:bookmarkEnd w:id="19"/>
    </w:p>
    <w:p>
      <w:pPr>
        <w:snapToGrid w:val="0"/>
        <w:spacing w:line="360" w:lineRule="auto"/>
        <w:ind w:firstLine="482" w:firstLineChars="200"/>
        <w:rPr>
          <w:rFonts w:hint="eastAsia" w:ascii="楷体" w:hAnsi="楷体" w:eastAsia="楷体" w:cs="楷体"/>
          <w:bCs/>
          <w:sz w:val="24"/>
        </w:rPr>
      </w:pPr>
      <w:r>
        <w:rPr>
          <w:rFonts w:hint="eastAsia" w:ascii="楷体" w:hAnsi="楷体" w:eastAsia="楷体" w:cs="楷体"/>
          <w:b/>
          <w:bCs w:val="0"/>
          <w:sz w:val="24"/>
        </w:rPr>
        <w:t>叁仟元</w:t>
      </w:r>
      <w:r>
        <w:rPr>
          <w:rFonts w:hint="eastAsia" w:ascii="楷体" w:hAnsi="楷体" w:eastAsia="楷体" w:cs="楷体"/>
          <w:bCs/>
          <w:sz w:val="24"/>
        </w:rPr>
        <w:t>圆整(现金信封密封好，现场收取)， 成交后转为履约保证金。</w:t>
      </w:r>
    </w:p>
    <w:p>
      <w:pPr>
        <w:pStyle w:val="4"/>
        <w:bidi w:val="0"/>
        <w:rPr>
          <w:rFonts w:hint="eastAsia" w:ascii="Arial" w:hAnsi="Arial"/>
          <w:b/>
        </w:rPr>
      </w:pPr>
      <w:bookmarkStart w:id="20" w:name="_Toc20037"/>
      <w:r>
        <w:rPr>
          <w:rFonts w:hint="eastAsia" w:ascii="Arial" w:hAnsi="Arial"/>
          <w:b/>
        </w:rPr>
        <w:t>六、采购人联系方式</w:t>
      </w:r>
      <w:bookmarkEnd w:id="20"/>
    </w:p>
    <w:p>
      <w:pPr>
        <w:snapToGrid w:val="0"/>
        <w:spacing w:line="360" w:lineRule="auto"/>
        <w:ind w:firstLine="480" w:firstLineChars="200"/>
        <w:jc w:val="left"/>
        <w:rPr>
          <w:rFonts w:hint="default" w:ascii="楷体" w:hAnsi="楷体" w:eastAsia="楷体" w:cs="楷体"/>
          <w:bCs/>
          <w:sz w:val="24"/>
          <w:lang w:val="en-US" w:eastAsia="zh-CN"/>
        </w:rPr>
      </w:pPr>
      <w:r>
        <w:rPr>
          <w:rFonts w:hint="eastAsia" w:ascii="楷体" w:hAnsi="楷体" w:eastAsia="楷体" w:cs="楷体"/>
          <w:bCs/>
          <w:sz w:val="24"/>
          <w:lang w:val="en-US" w:eastAsia="zh-CN"/>
        </w:rPr>
        <w:t>信息化建设与管理办公室</w:t>
      </w:r>
      <w:r>
        <w:rPr>
          <w:rFonts w:ascii="楷体" w:hAnsi="楷体" w:eastAsia="楷体" w:cs="楷体"/>
          <w:bCs/>
          <w:sz w:val="24"/>
        </w:rPr>
        <w:t>：</w:t>
      </w:r>
      <w:r>
        <w:rPr>
          <w:rFonts w:hint="eastAsia" w:ascii="楷体" w:hAnsi="楷体" w:eastAsia="楷体" w:cs="楷体"/>
          <w:bCs/>
          <w:sz w:val="24"/>
          <w:lang w:val="en-US" w:eastAsia="zh-CN"/>
        </w:rPr>
        <w:t>陈</w:t>
      </w:r>
      <w:r>
        <w:rPr>
          <w:rFonts w:ascii="楷体" w:hAnsi="楷体" w:eastAsia="楷体" w:cs="楷体"/>
          <w:bCs/>
          <w:sz w:val="24"/>
        </w:rPr>
        <w:t xml:space="preserve">老师 </w:t>
      </w:r>
      <w:r>
        <w:rPr>
          <w:rFonts w:hint="eastAsia" w:ascii="楷体" w:hAnsi="楷体" w:eastAsia="楷体" w:cs="楷体"/>
          <w:bCs/>
          <w:sz w:val="24"/>
        </w:rPr>
        <w:t xml:space="preserve"> </w:t>
      </w:r>
      <w:r>
        <w:rPr>
          <w:rFonts w:ascii="楷体" w:hAnsi="楷体" w:eastAsia="楷体" w:cs="楷体"/>
          <w:bCs/>
          <w:sz w:val="24"/>
        </w:rPr>
        <w:t>联系电话： 025</w:t>
      </w:r>
      <w:r>
        <w:rPr>
          <w:rFonts w:hint="eastAsia" w:ascii="楷体" w:hAnsi="楷体" w:eastAsia="楷体" w:cs="楷体"/>
          <w:bCs/>
          <w:sz w:val="24"/>
        </w:rPr>
        <w:t>-</w:t>
      </w:r>
      <w:r>
        <w:rPr>
          <w:rFonts w:ascii="楷体" w:hAnsi="楷体" w:eastAsia="楷体" w:cs="楷体"/>
          <w:bCs/>
          <w:sz w:val="24"/>
        </w:rPr>
        <w:t>86115735</w:t>
      </w:r>
      <w:r>
        <w:rPr>
          <w:rFonts w:hint="eastAsia" w:ascii="楷体" w:hAnsi="楷体" w:eastAsia="楷体" w:cs="楷体"/>
          <w:bCs/>
          <w:sz w:val="24"/>
          <w:lang w:val="en-US" w:eastAsia="zh-CN"/>
        </w:rPr>
        <w:t xml:space="preserve">/18626440077 </w:t>
      </w:r>
    </w:p>
    <w:p>
      <w:pPr>
        <w:snapToGrid w:val="0"/>
        <w:spacing w:line="360" w:lineRule="auto"/>
        <w:ind w:firstLine="480" w:firstLineChars="200"/>
        <w:rPr>
          <w:rFonts w:hint="default" w:ascii="楷体" w:hAnsi="楷体" w:eastAsia="楷体" w:cs="楷体"/>
          <w:bCs/>
          <w:sz w:val="24"/>
          <w:lang w:val="en-US" w:eastAsia="zh-CN"/>
        </w:rPr>
      </w:pPr>
      <w:r>
        <w:rPr>
          <w:rFonts w:hint="eastAsia" w:ascii="楷体" w:hAnsi="楷体" w:eastAsia="楷体" w:cs="楷体"/>
          <w:bCs/>
          <w:sz w:val="24"/>
        </w:rPr>
        <w:t>采购办：丁</w:t>
      </w:r>
      <w:r>
        <w:rPr>
          <w:rFonts w:ascii="楷体" w:hAnsi="楷体" w:eastAsia="楷体" w:cs="楷体"/>
          <w:bCs/>
          <w:sz w:val="24"/>
        </w:rPr>
        <w:t>老师</w:t>
      </w:r>
      <w:r>
        <w:rPr>
          <w:rFonts w:hint="eastAsia" w:ascii="楷体" w:hAnsi="楷体" w:eastAsia="楷体" w:cs="楷体"/>
          <w:bCs/>
          <w:sz w:val="24"/>
        </w:rPr>
        <w:t xml:space="preserve">              </w:t>
      </w:r>
      <w:r>
        <w:rPr>
          <w:rFonts w:hint="eastAsia" w:ascii="楷体" w:hAnsi="楷体" w:eastAsia="楷体" w:cs="楷体"/>
          <w:bCs/>
          <w:sz w:val="24"/>
          <w:lang w:val="en-US" w:eastAsia="zh-CN"/>
        </w:rPr>
        <w:t xml:space="preserve">    </w:t>
      </w:r>
      <w:r>
        <w:rPr>
          <w:rFonts w:ascii="楷体" w:hAnsi="楷体" w:eastAsia="楷体" w:cs="楷体"/>
          <w:bCs/>
          <w:sz w:val="24"/>
        </w:rPr>
        <w:t>联系电话： 025-86115</w:t>
      </w:r>
      <w:r>
        <w:rPr>
          <w:rFonts w:hint="eastAsia" w:ascii="楷体" w:hAnsi="楷体" w:eastAsia="楷体" w:cs="楷体"/>
          <w:bCs/>
          <w:sz w:val="24"/>
        </w:rPr>
        <w:t>963</w:t>
      </w:r>
      <w:r>
        <w:rPr>
          <w:rFonts w:hint="eastAsia" w:ascii="楷体" w:hAnsi="楷体" w:eastAsia="楷体" w:cs="楷体"/>
          <w:bCs/>
          <w:sz w:val="24"/>
          <w:lang w:val="en-US" w:eastAsia="zh-CN"/>
        </w:rPr>
        <w:t>/18115195630</w:t>
      </w:r>
    </w:p>
    <w:bookmarkEnd w:id="1"/>
    <w:bookmarkEnd w:id="2"/>
    <w:bookmarkEnd w:id="3"/>
    <w:bookmarkEnd w:id="4"/>
    <w:bookmarkEnd w:id="5"/>
    <w:bookmarkEnd w:id="13"/>
    <w:bookmarkEnd w:id="14"/>
    <w:bookmarkEnd w:id="15"/>
    <w:p>
      <w:pPr>
        <w:snapToGrid w:val="0"/>
        <w:spacing w:line="360" w:lineRule="auto"/>
        <w:ind w:firstLine="480" w:firstLineChars="200"/>
        <w:rPr>
          <w:rFonts w:hint="eastAsia" w:ascii="楷体" w:hAnsi="楷体" w:eastAsia="楷体" w:cs="楷体"/>
          <w:bCs/>
          <w:sz w:val="24"/>
        </w:rPr>
      </w:pPr>
      <w:bookmarkStart w:id="21" w:name="_Toc3756"/>
      <w:bookmarkStart w:id="22" w:name="_Toc18049"/>
      <w:bookmarkStart w:id="23" w:name="_Toc14577347"/>
      <w:bookmarkStart w:id="24" w:name="_Toc513029209"/>
      <w:bookmarkStart w:id="25" w:name="_Toc61149549"/>
      <w:bookmarkStart w:id="26" w:name="_Toc16938558"/>
      <w:bookmarkStart w:id="27" w:name="_Toc120614221"/>
      <w:bookmarkStart w:id="28" w:name="_Toc513029242"/>
      <w:bookmarkStart w:id="29" w:name="_Toc324237147"/>
      <w:bookmarkStart w:id="30" w:name="_Toc20823314"/>
      <w:bookmarkStart w:id="31" w:name="_Toc479757207"/>
    </w:p>
    <w:p>
      <w:pPr>
        <w:pStyle w:val="23"/>
        <w:spacing w:after="319"/>
        <w:rPr>
          <w:rFonts w:hint="eastAsia" w:ascii="楷体" w:hAnsi="楷体" w:eastAsia="楷体" w:cs="楷体"/>
          <w:sz w:val="40"/>
        </w:rPr>
      </w:pPr>
    </w:p>
    <w:p>
      <w:pPr>
        <w:pStyle w:val="23"/>
        <w:spacing w:after="319"/>
        <w:rPr>
          <w:rFonts w:hint="eastAsia" w:ascii="楷体" w:hAnsi="楷体" w:eastAsia="楷体" w:cs="楷体"/>
          <w:sz w:val="40"/>
        </w:rPr>
      </w:pPr>
    </w:p>
    <w:p>
      <w:pPr>
        <w:rPr>
          <w:rFonts w:hint="eastAsia" w:ascii="楷体" w:hAnsi="楷体" w:eastAsia="楷体" w:cs="楷体"/>
          <w:sz w:val="40"/>
        </w:rPr>
      </w:pPr>
    </w:p>
    <w:p>
      <w:pPr>
        <w:pStyle w:val="11"/>
        <w:rPr>
          <w:rFonts w:hint="eastAsia"/>
        </w:rPr>
      </w:pPr>
    </w:p>
    <w:p>
      <w:pPr>
        <w:pStyle w:val="23"/>
        <w:spacing w:after="319"/>
        <w:rPr>
          <w:rFonts w:hint="eastAsia" w:ascii="楷体" w:hAnsi="楷体" w:eastAsia="楷体" w:cs="楷体"/>
          <w:sz w:val="40"/>
        </w:rPr>
      </w:pPr>
    </w:p>
    <w:p>
      <w:pPr>
        <w:pStyle w:val="3"/>
        <w:bidi w:val="0"/>
        <w:rPr>
          <w:rFonts w:hint="eastAsia"/>
        </w:rPr>
      </w:pPr>
      <w:bookmarkStart w:id="32" w:name="_Toc7825"/>
      <w:r>
        <w:rPr>
          <w:rFonts w:hint="eastAsia"/>
        </w:rPr>
        <w:t>第二章  磋商须知</w:t>
      </w:r>
      <w:bookmarkEnd w:id="21"/>
      <w:bookmarkEnd w:id="22"/>
      <w:bookmarkEnd w:id="32"/>
    </w:p>
    <w:p>
      <w:pPr>
        <w:ind w:firstLine="480" w:firstLineChars="200"/>
        <w:jc w:val="center"/>
        <w:rPr>
          <w:rFonts w:ascii="楷体" w:hAnsi="楷体" w:eastAsia="楷体" w:cs="楷体"/>
          <w:sz w:val="24"/>
          <w:szCs w:val="24"/>
        </w:rPr>
      </w:pPr>
      <w:r>
        <w:rPr>
          <w:rFonts w:hint="eastAsia" w:ascii="楷体" w:hAnsi="楷体" w:eastAsia="楷体" w:cs="楷体"/>
          <w:sz w:val="24"/>
          <w:szCs w:val="24"/>
        </w:rPr>
        <w:t>（参加竞争性磋商的供应商以下简称“磋商供应商”）</w:t>
      </w:r>
    </w:p>
    <w:bookmarkEnd w:id="23"/>
    <w:bookmarkEnd w:id="24"/>
    <w:bookmarkEnd w:id="25"/>
    <w:p>
      <w:pPr>
        <w:pStyle w:val="4"/>
        <w:bidi w:val="0"/>
        <w:rPr>
          <w:rFonts w:hint="eastAsia" w:ascii="Arial" w:hAnsi="Arial"/>
          <w:b/>
          <w:lang w:val="zh-CN"/>
        </w:rPr>
      </w:pPr>
      <w:bookmarkStart w:id="33" w:name="_Toc29990"/>
      <w:bookmarkStart w:id="34" w:name="_Toc20823309"/>
      <w:bookmarkStart w:id="35" w:name="_Toc16938553"/>
      <w:bookmarkStart w:id="36" w:name="_Toc513029237"/>
      <w:bookmarkStart w:id="37" w:name="_Toc16499"/>
      <w:bookmarkStart w:id="38" w:name="_Toc6739"/>
      <w:r>
        <w:rPr>
          <w:rFonts w:hint="eastAsia" w:ascii="Arial" w:hAnsi="Arial"/>
          <w:b/>
          <w:lang w:val="zh-CN"/>
        </w:rPr>
        <w:t>一、总则</w:t>
      </w:r>
      <w:bookmarkEnd w:id="33"/>
    </w:p>
    <w:p>
      <w:pPr>
        <w:snapToGrid w:val="0"/>
        <w:spacing w:line="360" w:lineRule="auto"/>
        <w:ind w:firstLine="480" w:firstLineChars="200"/>
        <w:rPr>
          <w:rFonts w:hint="eastAsia" w:ascii="楷体" w:hAnsi="楷体" w:eastAsia="楷体" w:cs="楷体"/>
          <w:bCs/>
          <w:sz w:val="24"/>
          <w:lang w:val="zh-CN"/>
        </w:rPr>
      </w:pPr>
      <w:bookmarkStart w:id="39" w:name="_Toc487210474"/>
      <w:r>
        <w:rPr>
          <w:rFonts w:hint="eastAsia" w:ascii="楷体" w:hAnsi="楷体" w:eastAsia="楷体" w:cs="楷体"/>
          <w:bCs/>
          <w:sz w:val="24"/>
          <w:lang w:val="zh-CN"/>
        </w:rPr>
        <w:t>1、适用法律</w:t>
      </w:r>
      <w:bookmarkEnd w:id="3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1.1 《中华人民共和国政府采购法》、《中华人民共和国政府采购法实施条例》、《政府采购非招标方式管理办法》等有关法律、规章和规定等。</w:t>
      </w:r>
    </w:p>
    <w:p>
      <w:pPr>
        <w:snapToGrid w:val="0"/>
        <w:spacing w:line="360" w:lineRule="auto"/>
        <w:ind w:firstLine="480" w:firstLineChars="200"/>
        <w:rPr>
          <w:rFonts w:hint="eastAsia" w:ascii="楷体" w:hAnsi="楷体" w:eastAsia="楷体" w:cs="楷体"/>
          <w:bCs/>
          <w:sz w:val="24"/>
          <w:lang w:val="zh-CN"/>
        </w:rPr>
      </w:pPr>
      <w:bookmarkStart w:id="40" w:name="_Toc487210475"/>
      <w:r>
        <w:rPr>
          <w:rFonts w:hint="eastAsia" w:ascii="楷体" w:hAnsi="楷体" w:eastAsia="楷体" w:cs="楷体"/>
          <w:bCs/>
          <w:sz w:val="24"/>
          <w:lang w:val="zh-CN"/>
        </w:rPr>
        <w:t>2、定义</w:t>
      </w:r>
      <w:bookmarkEnd w:id="40"/>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2.1 “供应商”</w:t>
      </w:r>
      <w:r>
        <w:rPr>
          <w:rFonts w:hint="eastAsia" w:ascii="楷体" w:hAnsi="楷体" w:eastAsia="楷体" w:cs="楷体"/>
          <w:bCs/>
          <w:sz w:val="24"/>
        </w:rPr>
        <w:t>是指参加磋商竞争，并符合采购文件规定资格条件的法人、其他组织或者自然人。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2.2 “服务”指本采购文件中所述产品及相关服务。</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2.3 “用户或使用单位”是指使用服务的单位。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3、政策功能</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3.1政府采购促进中小企业发展，</w:t>
      </w:r>
      <w:r>
        <w:rPr>
          <w:rFonts w:hint="eastAsia" w:ascii="楷体" w:hAnsi="楷体" w:eastAsia="楷体" w:cs="楷体"/>
          <w:bCs/>
          <w:sz w:val="24"/>
        </w:rPr>
        <w:t>小型、微型企业提供本企业制造的货物、承担的工程或者服务，或者提供其他中小企业制造的货物在评标时将获得优势（本项所称货物不包括使用大型企业注册商标的货物）。参加投标的中小企业，应当提供《中小企业声明函》（“中小企业划型标准”详见政策法规《关于印发中小企业划型标准规定的通知》工信部联企业〔2011〕300号）和供应商所在地的县级以上中小企业主管部门对供应商为小、微型企业的认定证明复印件，如未按要求填写和提供有效证明或相关内容表述不清的，不得享受价格扣除。</w:t>
      </w:r>
    </w:p>
    <w:p>
      <w:pPr>
        <w:pStyle w:val="4"/>
        <w:bidi w:val="0"/>
        <w:rPr>
          <w:rFonts w:hint="eastAsia" w:ascii="Arial" w:hAnsi="Arial"/>
          <w:b/>
          <w:lang w:val="zh-CN"/>
        </w:rPr>
      </w:pPr>
      <w:bookmarkStart w:id="41" w:name="_Toc3435"/>
      <w:r>
        <w:rPr>
          <w:rFonts w:hint="eastAsia" w:ascii="Arial" w:hAnsi="Arial"/>
          <w:b/>
          <w:lang w:val="zh-CN"/>
        </w:rPr>
        <w:t>二、响应文件编制</w:t>
      </w:r>
      <w:bookmarkEnd w:id="4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4</w:t>
      </w:r>
      <w:r>
        <w:rPr>
          <w:rFonts w:hint="eastAsia" w:ascii="楷体" w:hAnsi="楷体" w:eastAsia="楷体" w:cs="楷体"/>
          <w:bCs/>
          <w:sz w:val="24"/>
          <w:lang w:val="zh-CN"/>
        </w:rPr>
        <w:t>、供应商应当按照磋商文件的要求编制响应文件，并对其提交的响应文件真实性、合法性承担法律责任。</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、响应文件的语言、计量单位、货币和编制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.1 提交的响应文件、技术文件和资料，包括图纸中的说明，以及供应商与采购办就有关磋商的所有来往函电均应使用中文。响应文件中若有英文或其他语言文字的资料，应提供相应的中文翻译资料。对不同文本响应文件的解释发生异议的，以中文文本为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.2 供应商所使用的计量单位应为国家法定计量单位。</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.3 供应商应用人民币报价。</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.4 响应文件应字迹清楚、内容齐全、不得涂改。如有修改，修改处须有供应商公章或法定代表人或其授权磋商代表签字。</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.5 响应文件应按照磋商文件规定的顺序，统一用A4规格幅面打印、装订成册并编制目录，由于编排混乱导致响应文件被误读或查找不到，责任由供应商承担。</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5</w:t>
      </w:r>
      <w:r>
        <w:rPr>
          <w:rFonts w:hint="eastAsia" w:ascii="楷体" w:hAnsi="楷体" w:eastAsia="楷体" w:cs="楷体"/>
          <w:bCs/>
          <w:sz w:val="24"/>
          <w:lang w:val="zh-CN"/>
        </w:rPr>
        <w:t>.6 供应商应在响应文件中写清相应的项目编号、项目名称、供应商名称、地址、电话、传真等。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、响应文件的组成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.1</w:t>
      </w:r>
      <w:r>
        <w:rPr>
          <w:rFonts w:hint="eastAsia" w:ascii="楷体" w:hAnsi="楷体" w:eastAsia="楷体" w:cs="楷体"/>
          <w:bCs/>
          <w:sz w:val="24"/>
        </w:rPr>
        <w:t>供应商应当根据磋商文件要求编制响应文件，并根据自己的商务能力、技术水平对磋商文件提出的要求和条件逐条标明是否响应。</w:t>
      </w:r>
      <w:r>
        <w:rPr>
          <w:rFonts w:hint="eastAsia" w:ascii="楷体" w:hAnsi="楷体" w:eastAsia="楷体" w:cs="楷体"/>
          <w:bCs/>
          <w:sz w:val="24"/>
          <w:lang w:val="zh-CN"/>
        </w:rPr>
        <w:t>响应文件由商务部分、技术部分、价格部分，以及其他部分组成。</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.2 响应文件的商务部分。商务部分是证明供应商有资格参加磋商和成交后有能力履行合同的文件，</w:t>
      </w:r>
      <w:r>
        <w:rPr>
          <w:rFonts w:hint="eastAsia" w:ascii="楷体" w:hAnsi="楷体" w:eastAsia="楷体" w:cs="楷体"/>
          <w:bCs/>
          <w:sz w:val="24"/>
        </w:rPr>
        <w:t>这些文件应能满足竞争性磋商采购文件的要求</w:t>
      </w:r>
      <w:r>
        <w:rPr>
          <w:rFonts w:hint="eastAsia" w:ascii="楷体" w:hAnsi="楷体" w:eastAsia="楷体" w:cs="楷体"/>
          <w:bCs/>
          <w:sz w:val="24"/>
          <w:lang w:val="zh-CN"/>
        </w:rPr>
        <w:t>，包括但不限于下列文件，其中加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w:t>
      </w:r>
      <w:r>
        <w:rPr>
          <w:rFonts w:hint="eastAsia" w:ascii="楷体" w:hAnsi="楷体" w:eastAsia="楷体" w:cs="楷体"/>
          <w:bCs/>
          <w:sz w:val="24"/>
          <w:lang w:val="zh-CN"/>
        </w:rPr>
        <w:t>磋商申请及声明；</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 xml:space="preserve">法定代表人授权委托书及委托代理人的身份证明文件的复印件； </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3</w:t>
      </w:r>
      <w:r>
        <w:rPr>
          <w:rFonts w:hint="eastAsia" w:ascii="楷体" w:hAnsi="楷体" w:eastAsia="楷体" w:cs="楷体"/>
          <w:bCs/>
          <w:sz w:val="24"/>
          <w:lang w:val="zh-CN"/>
        </w:rPr>
        <w:t>）</w:t>
      </w:r>
      <w:r>
        <w:rPr>
          <w:rFonts w:hint="eastAsia" w:ascii="楷体" w:hAnsi="楷体" w:eastAsia="楷体" w:cs="楷体"/>
          <w:bCs/>
          <w:sz w:val="24"/>
        </w:rPr>
        <w:t>※第一章磋商邀请中 3.1</w:t>
      </w:r>
      <w:r>
        <w:rPr>
          <w:rFonts w:hint="eastAsia" w:ascii="楷体" w:hAnsi="楷体" w:eastAsia="楷体" w:cs="楷体"/>
          <w:bCs/>
          <w:sz w:val="24"/>
          <w:lang w:val="zh-CN"/>
        </w:rPr>
        <w:t>《中华人民共和国政府采购法》规定的资格条件证明文件；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※第一章磋商邀请中 3.2 采购人根据采购项目的特殊要求规定的特定条件证明文件；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5</w:t>
      </w:r>
      <w:r>
        <w:rPr>
          <w:rFonts w:hint="eastAsia" w:ascii="楷体" w:hAnsi="楷体" w:eastAsia="楷体" w:cs="楷体"/>
          <w:bCs/>
          <w:sz w:val="24"/>
          <w:lang w:val="zh-CN"/>
        </w:rPr>
        <w:t>）</w:t>
      </w:r>
      <w:r>
        <w:rPr>
          <w:rFonts w:hint="eastAsia" w:ascii="楷体" w:hAnsi="楷体" w:eastAsia="楷体" w:cs="楷体"/>
          <w:bCs/>
          <w:sz w:val="24"/>
        </w:rPr>
        <w:t>《分项报价表》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（6）《商务条款偏离表》；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w:t>
      </w:r>
      <w:r>
        <w:rPr>
          <w:rFonts w:hint="eastAsia" w:ascii="楷体" w:hAnsi="楷体" w:eastAsia="楷体" w:cs="楷体"/>
          <w:bCs/>
          <w:sz w:val="24"/>
        </w:rPr>
        <w:t>7</w:t>
      </w:r>
      <w:r>
        <w:rPr>
          <w:rFonts w:hint="eastAsia" w:ascii="楷体" w:hAnsi="楷体" w:eastAsia="楷体" w:cs="楷体"/>
          <w:bCs/>
          <w:sz w:val="24"/>
          <w:lang w:val="zh-CN"/>
        </w:rPr>
        <w:t>）合同草案条款；</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（8）供应商认为需要</w:t>
      </w:r>
      <w:r>
        <w:rPr>
          <w:rFonts w:hint="eastAsia" w:ascii="楷体" w:hAnsi="楷体" w:eastAsia="楷体" w:cs="楷体"/>
          <w:bCs/>
          <w:sz w:val="24"/>
          <w:lang w:val="zh-CN"/>
        </w:rPr>
        <w:t>提供的其他资格证明文件和商务资料。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.3 响应文件的技术部分。技术部分是证明</w:t>
      </w:r>
      <w:r>
        <w:rPr>
          <w:rFonts w:hint="eastAsia" w:ascii="楷体" w:hAnsi="楷体" w:eastAsia="楷体" w:cs="楷体"/>
          <w:bCs/>
          <w:sz w:val="24"/>
        </w:rPr>
        <w:t>供应商提供的服务是合格的，并符合磋商文件要求的证明文件，以及</w:t>
      </w:r>
      <w:r>
        <w:rPr>
          <w:rFonts w:hint="eastAsia" w:ascii="楷体" w:hAnsi="楷体" w:eastAsia="楷体" w:cs="楷体"/>
          <w:bCs/>
          <w:sz w:val="24"/>
          <w:lang w:val="zh-CN"/>
        </w:rPr>
        <w:t>对服务的详细说明，这些文件可以是文字资料、图纸和数据等。提供的服务如与磋商文件要求有不符之处，应说明其差别之所在。包括但不限于下列文件，其中加</w:t>
      </w:r>
      <w:r>
        <w:rPr>
          <w:rFonts w:hint="eastAsia" w:ascii="楷体" w:hAnsi="楷体" w:eastAsia="楷体" w:cs="楷体"/>
          <w:bCs/>
          <w:sz w:val="24"/>
        </w:rPr>
        <w:t>“※”</w:t>
      </w:r>
      <w:r>
        <w:rPr>
          <w:rFonts w:hint="eastAsia" w:ascii="楷体" w:hAnsi="楷体" w:eastAsia="楷体" w:cs="楷体"/>
          <w:bCs/>
          <w:sz w:val="24"/>
          <w:lang w:val="zh-CN"/>
        </w:rPr>
        <w:t>项目不得有缺失或无效：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※货物或服务的详细说明</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w:t>
      </w:r>
      <w:r>
        <w:rPr>
          <w:rFonts w:hint="eastAsia" w:ascii="楷体" w:hAnsi="楷体" w:eastAsia="楷体" w:cs="楷体"/>
          <w:bCs/>
          <w:sz w:val="24"/>
        </w:rPr>
        <w:t>※</w:t>
      </w:r>
      <w:r>
        <w:rPr>
          <w:rFonts w:hint="eastAsia" w:ascii="楷体" w:hAnsi="楷体" w:eastAsia="楷体" w:cs="楷体"/>
          <w:bCs/>
          <w:sz w:val="24"/>
          <w:lang w:val="zh-CN"/>
        </w:rPr>
        <w:t>《技术条款偏离表》；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（3）</w:t>
      </w:r>
      <w:r>
        <w:rPr>
          <w:rFonts w:hint="eastAsia" w:ascii="楷体" w:hAnsi="楷体" w:eastAsia="楷体" w:cs="楷体"/>
          <w:bCs/>
          <w:sz w:val="24"/>
        </w:rPr>
        <w:t>※《</w:t>
      </w:r>
      <w:r>
        <w:rPr>
          <w:rFonts w:hint="eastAsia" w:ascii="楷体" w:hAnsi="楷体" w:eastAsia="楷体" w:cs="楷体"/>
          <w:bCs/>
          <w:sz w:val="24"/>
          <w:lang w:val="zh-CN"/>
        </w:rPr>
        <w:t>磋商项目主要产品一览表</w:t>
      </w:r>
      <w:r>
        <w:rPr>
          <w:rFonts w:hint="eastAsia" w:ascii="楷体" w:hAnsi="楷体" w:eastAsia="楷体" w:cs="楷体"/>
          <w:bCs/>
          <w:sz w:val="24"/>
        </w:rPr>
        <w:t>》（如果本项目具有产品的话必须填写）；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（4）《供货一览表》；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（5）货物安装、验收标准、货物技术资料；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（6）项目集成（实施）方案；</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服务承诺；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（8）供应商认为需要</w:t>
      </w:r>
      <w:r>
        <w:rPr>
          <w:rFonts w:hint="eastAsia" w:ascii="楷体" w:hAnsi="楷体" w:eastAsia="楷体" w:cs="楷体"/>
          <w:bCs/>
          <w:sz w:val="24"/>
          <w:lang w:val="zh-CN"/>
        </w:rPr>
        <w:t>提供的其他技术资料。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.4 响应文件的价格部分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（1）价格部分是对服务价格构成的说明，磋商文件如没有特别说明的话，对每一项服务仅接受一个价格。</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（2）报价应包含完成本服务项目发生的所有含税费用、支付给员工的工资和国家强制缴纳的各种社会保障资金</w:t>
      </w:r>
      <w:r>
        <w:rPr>
          <w:rFonts w:hint="eastAsia" w:ascii="楷体" w:hAnsi="楷体" w:eastAsia="楷体" w:cs="楷体"/>
          <w:bCs/>
          <w:sz w:val="24"/>
        </w:rPr>
        <w:t>，以及供应商认为需要的其他费用等。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（3）供应商应充分考虑到市场价格变动，以及项目实施过程中的不可预见因素，一旦成交，总价格不变。如果有漏项，视同让利。</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（4）经磋商后，如果成交价高于或低于供应商在响应文件首次报价的，分项报价同比例调整。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.5 响应文件的其他部分。其他部分由供应商根据编制响应文件需要提供的其他相关文件。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、磋商保证金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.1 供应商应按照要求提交磋商保证金，并作为其响应文件的一部分。磋商保证金是为了保护采购人免遭因供应商的行为而蒙受的损失，采购办在因供应商的行为受到损害时，磋商保证金将不予退还。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7</w:t>
      </w:r>
      <w:r>
        <w:rPr>
          <w:rFonts w:hint="eastAsia" w:ascii="楷体" w:hAnsi="楷体" w:eastAsia="楷体" w:cs="楷体"/>
          <w:bCs/>
          <w:sz w:val="24"/>
          <w:lang w:val="zh-CN"/>
        </w:rPr>
        <w:t>.</w:t>
      </w:r>
      <w:r>
        <w:rPr>
          <w:rFonts w:hint="eastAsia" w:ascii="楷体" w:hAnsi="楷体" w:eastAsia="楷体" w:cs="楷体"/>
          <w:bCs/>
          <w:sz w:val="24"/>
        </w:rPr>
        <w:t>2</w:t>
      </w:r>
      <w:r>
        <w:rPr>
          <w:rFonts w:hint="eastAsia" w:ascii="楷体" w:hAnsi="楷体" w:eastAsia="楷体" w:cs="楷体"/>
          <w:bCs/>
          <w:sz w:val="24"/>
          <w:lang w:val="zh-CN"/>
        </w:rPr>
        <w:t xml:space="preserve"> 下列任何情况发生时，磋商保证金不予退还：</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（1）成交通知书发出后三十日内，成交供应商未与采购人签订合同的；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（2）提供虚假材料谋取成交的；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（3）经查实与采购人、其他供应商或者采购办恶意串通的等。</w:t>
      </w:r>
    </w:p>
    <w:p>
      <w:pPr>
        <w:pStyle w:val="4"/>
        <w:bidi w:val="0"/>
        <w:rPr>
          <w:rFonts w:hint="eastAsia" w:ascii="Arial" w:hAnsi="Arial"/>
          <w:b/>
          <w:lang w:val="zh-CN"/>
        </w:rPr>
      </w:pPr>
      <w:bookmarkStart w:id="42" w:name="_Toc487210477"/>
      <w:bookmarkStart w:id="43" w:name="_Toc22852"/>
      <w:r>
        <w:rPr>
          <w:rFonts w:hint="eastAsia" w:ascii="Arial" w:hAnsi="Arial"/>
          <w:b/>
          <w:lang w:val="zh-CN"/>
        </w:rPr>
        <w:t>三、响应文件签署与提交</w:t>
      </w:r>
      <w:bookmarkEnd w:id="42"/>
      <w:bookmarkEnd w:id="43"/>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、响应文件签署</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.1 响应文件应由供应商法定代表人或授权代表签字，并加盖公章。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.2供应商应当在磋商文件要求提交响应文件的截止时间前，将响应文件密封送达指定地点。</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8</w:t>
      </w:r>
      <w:r>
        <w:rPr>
          <w:rFonts w:hint="eastAsia" w:ascii="楷体" w:hAnsi="楷体" w:eastAsia="楷体" w:cs="楷体"/>
          <w:bCs/>
          <w:sz w:val="24"/>
          <w:lang w:val="zh-CN"/>
        </w:rPr>
        <w:t>.3 有下列情形之一的响应文件将拒收：</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（1）未按竞争性磋商邀请规定的数额和办法交纳磋商保证金的；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（2）在磋商文件要求提交响应文件的截止时间之后送达的等。</w:t>
      </w:r>
    </w:p>
    <w:p>
      <w:pPr>
        <w:pStyle w:val="4"/>
        <w:bidi w:val="0"/>
        <w:rPr>
          <w:rFonts w:hint="eastAsia" w:ascii="Arial" w:hAnsi="Arial"/>
          <w:b/>
          <w:lang w:val="zh-CN"/>
        </w:rPr>
      </w:pPr>
      <w:bookmarkStart w:id="44" w:name="_Toc15791"/>
      <w:r>
        <w:rPr>
          <w:rFonts w:hint="eastAsia" w:ascii="Arial" w:hAnsi="Arial"/>
          <w:b/>
          <w:lang w:val="zh-CN"/>
        </w:rPr>
        <w:t>四、磋商</w:t>
      </w:r>
      <w:bookmarkEnd w:id="44"/>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w:t>
      </w:r>
      <w:r>
        <w:rPr>
          <w:rFonts w:hint="eastAsia" w:ascii="楷体" w:hAnsi="楷体" w:eastAsia="楷体" w:cs="楷体"/>
          <w:bCs/>
          <w:sz w:val="24"/>
          <w:lang w:val="zh-CN"/>
        </w:rPr>
        <w:t>、联合体</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9.1 两个以上的自然人、法人或者其他组织可以组成一个联合体，以一个供应商的身份共同参加政府采购。</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9.2 鼓励大中型企业和其他自然人、法人或者其他组织与小型、微型企业组成联合体共同参加非专门面向中小企业的政府采购活动。</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9.3 以联合体形式参加采购的，联合体各方均应当符合政府采购法第二十二条第一款规定的条件；采购人根据采购项目的特殊要求规定供应商特定条件的，联合体各方中至少应当有一方符合采购人规定的特定条件。由同一专业的供应商组成的联合体，联合体中有同类资质的供应商按照联合体分工承担相同工作的，按照资质等级较低的供应商确定资质等级，并以响应全权代表方的应答材料作为商务评审的依据。由不同专业的供应商组成联合体，首先以响应全权代表方的应答材料作为认定资质以及商务评审的依据，涉及行业专属的资质，按照所属行业对应的供应商的应答材料确定。</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9.4 联合体各方之间应当签订联合体协议，明确约定联合体各方承担的工作和相应的责任，并将联合体协议连同响应文件一并提交。</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9.5 以联合体形式参加政府采购活动的，联合体各方不得再单独参加或者与其他供应商另外组成联合体参加同一合同项下的政府采购活动。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、磋商组织</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.1 在提交响应文件时间截止后，采购办在规定的时间和地点组织磋商小组分别与供应商进行磋商。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0</w:t>
      </w:r>
      <w:r>
        <w:rPr>
          <w:rFonts w:hint="eastAsia" w:ascii="楷体" w:hAnsi="楷体" w:eastAsia="楷体" w:cs="楷体"/>
          <w:bCs/>
          <w:sz w:val="24"/>
          <w:lang w:val="zh-CN"/>
        </w:rPr>
        <w:t>.2 磋商工作由采购办负责组织，具体磋商事务由依法组建的磋商小组负责。</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、磋商程序</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.1 磋商小组评审供应商所递交的响应文件，</w:t>
      </w:r>
      <w:r>
        <w:rPr>
          <w:rFonts w:hint="eastAsia" w:ascii="楷体" w:hAnsi="楷体" w:eastAsia="楷体" w:cs="楷体"/>
          <w:bCs/>
          <w:sz w:val="24"/>
        </w:rPr>
        <w:t>并根据磋商文件规定的程序、评定成交的标准等事项与实质性响应磋商文件要求的供应商进行磋商。未实质性响应磋商文件的响应文件按无效处理，磋商小组应将告知有关供应商。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.2 磋商小组所有成员集中与单一供应商分别进行磋商，所有参加磋商的供应商均有同等的磋商机会。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.3 磋商过程中，磋商小组根据磋商文件和磋商情况可能实质性变动采购需求中的技术、服务要求以及合同草案条款。实质性变动是磋商文件的有效组成部分，磋商小组将以书面形式通知所有参加磋商的供应商。用“★”加注或特别说明的内容为实质性要求。</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.4 供应商应当按照磋商文件的变动情况和磋商小组的要求重新提交响应文件，并由其法定代表人或授权代表签字或者加盖公章。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.5 磋商结束后，磋商小组将要求所有继续参加磋商的供应商在规定时间内提交最后报价。最后报价由其法定代表人或授权代表签字或者加盖公章，最后报价是供应商响应文件的有效组成部分。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.6 出现下列情形之一的响应文件按照无效处理：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w:t>
      </w:r>
      <w:r>
        <w:rPr>
          <w:rFonts w:hint="eastAsia" w:ascii="楷体" w:hAnsi="楷体" w:eastAsia="楷体" w:cs="楷体"/>
          <w:bCs/>
          <w:sz w:val="24"/>
          <w:lang w:val="zh-CN"/>
        </w:rPr>
        <w:t>未按竞争性磋商邀请规定的数额和办法交纳磋商保证金的；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（2）不具备磋商文件中规定资格条件的；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（3）未实质性响应磋商文件要求的；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（4）</w:t>
      </w:r>
      <w:r>
        <w:rPr>
          <w:rFonts w:hint="eastAsia" w:ascii="楷体" w:hAnsi="楷体" w:eastAsia="楷体" w:cs="楷体"/>
          <w:bCs/>
          <w:sz w:val="24"/>
          <w:lang w:val="zh-CN"/>
        </w:rPr>
        <w:t>没有逐一说明提供产品名称、品牌、规格型号、产地、技术参数和服务响应，而是直接拷贝采购文件技术要求的；</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（5）</w:t>
      </w:r>
      <w:r>
        <w:rPr>
          <w:rFonts w:hint="eastAsia" w:ascii="楷体" w:hAnsi="楷体" w:eastAsia="楷体" w:cs="楷体"/>
          <w:bCs/>
          <w:sz w:val="24"/>
          <w:lang w:val="zh-CN"/>
        </w:rPr>
        <w:t>报价低于完成本服务项目发生的所有含税费用、支付给员工的工资（不得低于供应商所在地最低工资标准）和国家强制缴纳的各种社会保障资金</w:t>
      </w:r>
      <w:r>
        <w:rPr>
          <w:rFonts w:hint="eastAsia" w:ascii="楷体" w:hAnsi="楷体" w:eastAsia="楷体" w:cs="楷体"/>
          <w:bCs/>
          <w:sz w:val="24"/>
        </w:rPr>
        <w:t>、公积金，以及供应商认为需要的其他费用等。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（6）</w:t>
      </w:r>
      <w:r>
        <w:rPr>
          <w:rFonts w:hint="eastAsia" w:ascii="楷体" w:hAnsi="楷体" w:eastAsia="楷体" w:cs="楷体"/>
          <w:bCs/>
          <w:sz w:val="24"/>
          <w:lang w:val="zh-CN"/>
        </w:rPr>
        <w:t>不符合法律、法规和磋商文件规定的其他实质性要求的。</w:t>
      </w:r>
    </w:p>
    <w:p>
      <w:pPr>
        <w:snapToGrid w:val="0"/>
        <w:spacing w:line="360" w:lineRule="auto"/>
        <w:ind w:firstLine="480" w:firstLineChars="200"/>
        <w:rPr>
          <w:rFonts w:hint="eastAsia" w:ascii="楷体" w:hAnsi="楷体" w:eastAsia="楷体" w:cs="楷体"/>
          <w:bCs/>
          <w:sz w:val="24"/>
        </w:rPr>
      </w:pPr>
      <w:bookmarkStart w:id="45" w:name="_Toc487210478"/>
      <w:r>
        <w:rPr>
          <w:rFonts w:hint="eastAsia" w:ascii="楷体" w:hAnsi="楷体" w:eastAsia="楷体" w:cs="楷体"/>
          <w:bCs/>
          <w:sz w:val="24"/>
          <w:lang w:val="zh-CN"/>
        </w:rPr>
        <w:t>1</w:t>
      </w:r>
      <w:r>
        <w:rPr>
          <w:rFonts w:hint="eastAsia" w:ascii="楷体" w:hAnsi="楷体" w:eastAsia="楷体" w:cs="楷体"/>
          <w:bCs/>
          <w:sz w:val="24"/>
        </w:rPr>
        <w:t>1</w:t>
      </w:r>
      <w:r>
        <w:rPr>
          <w:rFonts w:hint="eastAsia" w:ascii="楷体" w:hAnsi="楷体" w:eastAsia="楷体" w:cs="楷体"/>
          <w:bCs/>
          <w:sz w:val="24"/>
          <w:lang w:val="zh-CN"/>
        </w:rPr>
        <w:t xml:space="preserve">.8 </w:t>
      </w:r>
      <w:r>
        <w:rPr>
          <w:rFonts w:hint="eastAsia" w:ascii="楷体" w:hAnsi="楷体" w:eastAsia="楷体" w:cs="楷体"/>
          <w:bCs/>
          <w:sz w:val="24"/>
        </w:rPr>
        <w:t>出现下列情形之一的，磋商终止：</w:t>
      </w:r>
      <w:bookmarkEnd w:id="45"/>
    </w:p>
    <w:p>
      <w:pPr>
        <w:snapToGrid w:val="0"/>
        <w:spacing w:line="360" w:lineRule="auto"/>
        <w:ind w:firstLine="480" w:firstLineChars="200"/>
        <w:rPr>
          <w:rFonts w:hint="eastAsia" w:ascii="楷体" w:hAnsi="楷体" w:eastAsia="楷体" w:cs="楷体"/>
          <w:bCs/>
          <w:sz w:val="24"/>
          <w:lang w:val="zh-CN"/>
        </w:rPr>
      </w:pPr>
      <w:bookmarkStart w:id="46" w:name="_Toc487210479"/>
      <w:r>
        <w:rPr>
          <w:rFonts w:hint="eastAsia" w:ascii="楷体" w:hAnsi="楷体" w:eastAsia="楷体" w:cs="楷体"/>
          <w:bCs/>
          <w:sz w:val="24"/>
          <w:lang w:val="zh-CN"/>
        </w:rPr>
        <w:t>（1）因情况变化，不再符合规定的竞争性磋商采购方式适用情形的；</w:t>
      </w:r>
      <w:bookmarkEnd w:id="46"/>
    </w:p>
    <w:p>
      <w:pPr>
        <w:snapToGrid w:val="0"/>
        <w:spacing w:line="360" w:lineRule="auto"/>
        <w:ind w:firstLine="480" w:firstLineChars="200"/>
        <w:rPr>
          <w:rFonts w:hint="eastAsia" w:ascii="楷体" w:hAnsi="楷体" w:eastAsia="楷体" w:cs="楷体"/>
          <w:bCs/>
          <w:sz w:val="24"/>
          <w:lang w:val="zh-CN"/>
        </w:rPr>
      </w:pPr>
      <w:bookmarkStart w:id="47" w:name="_Toc487210480"/>
      <w:r>
        <w:rPr>
          <w:rFonts w:hint="eastAsia" w:ascii="楷体" w:hAnsi="楷体" w:eastAsia="楷体" w:cs="楷体"/>
          <w:bCs/>
          <w:sz w:val="24"/>
          <w:lang w:val="zh-CN"/>
        </w:rPr>
        <w:t>（2）所有供应商的响应文件被磋商小组认定为无效的；</w:t>
      </w:r>
      <w:bookmarkEnd w:id="47"/>
    </w:p>
    <w:p>
      <w:pPr>
        <w:snapToGrid w:val="0"/>
        <w:spacing w:line="360" w:lineRule="auto"/>
        <w:ind w:firstLine="480" w:firstLineChars="200"/>
        <w:rPr>
          <w:rFonts w:hint="eastAsia" w:ascii="楷体" w:hAnsi="楷体" w:eastAsia="楷体" w:cs="楷体"/>
          <w:bCs/>
          <w:sz w:val="24"/>
          <w:lang w:val="zh-CN"/>
        </w:rPr>
      </w:pPr>
      <w:bookmarkStart w:id="48" w:name="_Toc487210481"/>
      <w:r>
        <w:rPr>
          <w:rFonts w:hint="eastAsia" w:ascii="楷体" w:hAnsi="楷体" w:eastAsia="楷体" w:cs="楷体"/>
          <w:bCs/>
          <w:sz w:val="24"/>
          <w:lang w:val="zh-CN"/>
        </w:rPr>
        <w:t>（3）出现影响采购公正的违法、违规行为的；</w:t>
      </w:r>
      <w:bookmarkEnd w:id="48"/>
    </w:p>
    <w:p>
      <w:pPr>
        <w:snapToGrid w:val="0"/>
        <w:spacing w:line="360" w:lineRule="auto"/>
        <w:ind w:firstLine="480" w:firstLineChars="200"/>
        <w:rPr>
          <w:rFonts w:hint="eastAsia" w:ascii="楷体" w:hAnsi="楷体" w:eastAsia="楷体" w:cs="楷体"/>
          <w:bCs/>
          <w:sz w:val="24"/>
          <w:lang w:val="zh-CN"/>
        </w:rPr>
      </w:pPr>
      <w:bookmarkStart w:id="49" w:name="_Toc487210482"/>
      <w:r>
        <w:rPr>
          <w:rFonts w:hint="eastAsia" w:ascii="楷体" w:hAnsi="楷体" w:eastAsia="楷体" w:cs="楷体"/>
          <w:bCs/>
          <w:sz w:val="24"/>
          <w:lang w:val="zh-CN"/>
        </w:rPr>
        <w:t>（4）供应商的最终报价超过采购预算的；</w:t>
      </w:r>
      <w:bookmarkEnd w:id="49"/>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（5）因重大变故，采购任务取消的；</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（6）采购人需求发生重大变化暂时不能确定或供应商提供的服务不能满足需求等。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、评定成交方法和标准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.1采用综合评分法。即在最大限度地满足竞争性磋商文件实质性要求前提下，按照磋商文件中规定的各项因素进行综合评审后，以评审总得分最高的供应商作为成交候选供应商或者成交供应商的评审方法。</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.2 综合评审的主要因素是：价格、服务参数响应情况</w:t>
      </w:r>
      <w:r>
        <w:rPr>
          <w:rFonts w:hint="eastAsia" w:ascii="楷体" w:hAnsi="楷体" w:eastAsia="楷体" w:cs="楷体"/>
          <w:bCs/>
          <w:sz w:val="24"/>
        </w:rPr>
        <w:t>、维保方案</w:t>
      </w:r>
      <w:r>
        <w:rPr>
          <w:rFonts w:hint="eastAsia" w:ascii="楷体" w:hAnsi="楷体" w:eastAsia="楷体" w:cs="楷体"/>
          <w:bCs/>
          <w:sz w:val="24"/>
          <w:lang w:val="zh-CN"/>
        </w:rPr>
        <w:t>、人员配置及服务承诺等、供应商履约能力及资信情况等。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2</w:t>
      </w:r>
      <w:r>
        <w:rPr>
          <w:rFonts w:hint="eastAsia" w:ascii="楷体" w:hAnsi="楷体" w:eastAsia="楷体" w:cs="楷体"/>
          <w:bCs/>
          <w:sz w:val="24"/>
          <w:lang w:val="zh-CN"/>
        </w:rPr>
        <w:t>.3</w:t>
      </w:r>
      <w:r>
        <w:rPr>
          <w:rFonts w:hint="eastAsia" w:ascii="楷体" w:hAnsi="楷体" w:eastAsia="楷体" w:cs="楷体"/>
          <w:bCs/>
          <w:sz w:val="24"/>
        </w:rPr>
        <w:t>评审标准详见文件第三章。</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、确定成交供应商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.1在综合比较与评价后按照得分高低顺序对供应商进行排列。</w:t>
      </w:r>
      <w:r>
        <w:rPr>
          <w:rFonts w:hint="eastAsia" w:ascii="楷体" w:hAnsi="楷体" w:eastAsia="楷体" w:cs="楷体"/>
          <w:bCs/>
          <w:sz w:val="24"/>
        </w:rPr>
        <w:t>得分相同的，按报价由低到高顺序排列。得分且报价相同的，按技术指标优劣顺序排列。</w:t>
      </w:r>
      <w:r>
        <w:rPr>
          <w:rFonts w:hint="eastAsia" w:ascii="楷体" w:hAnsi="楷体" w:eastAsia="楷体" w:cs="楷体"/>
          <w:bCs/>
          <w:sz w:val="24"/>
          <w:lang w:val="zh-CN"/>
        </w:rPr>
        <w:t>磋商小组将综合排名第一的供应商确定为成交供应商。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.2 成交供应商确定后，将</w:t>
      </w:r>
      <w:r>
        <w:rPr>
          <w:rFonts w:hint="eastAsia" w:ascii="楷体" w:hAnsi="楷体" w:eastAsia="楷体" w:cs="楷体"/>
          <w:bCs/>
          <w:sz w:val="24"/>
        </w:rPr>
        <w:t>在学院采购网上发布成交公示。</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3</w:t>
      </w:r>
      <w:r>
        <w:rPr>
          <w:rFonts w:hint="eastAsia" w:ascii="楷体" w:hAnsi="楷体" w:eastAsia="楷体" w:cs="楷体"/>
          <w:bCs/>
          <w:sz w:val="24"/>
          <w:lang w:val="zh-CN"/>
        </w:rPr>
        <w:t>.3 成交通知书对采购人和成交供应商具有同等法律效力。</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13.4采购人对未成交的供应商不作未成交原因的解释。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13.5 所有响应文件都将作为档案保存，不论成交与否，采购办均不退回。</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4</w:t>
      </w:r>
      <w:r>
        <w:rPr>
          <w:rFonts w:hint="eastAsia" w:ascii="楷体" w:hAnsi="楷体" w:eastAsia="楷体" w:cs="楷体"/>
          <w:bCs/>
          <w:sz w:val="24"/>
          <w:lang w:val="zh-CN"/>
        </w:rPr>
        <w:t>、</w:t>
      </w:r>
      <w:r>
        <w:rPr>
          <w:rFonts w:hint="eastAsia" w:ascii="楷体" w:hAnsi="楷体" w:eastAsia="楷体" w:cs="楷体"/>
          <w:bCs/>
          <w:sz w:val="24"/>
        </w:rPr>
        <w:t>编写评审报告</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14.1 磋商小组根据磋商过程和结果填写评审报告。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、签订合同</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15</w:t>
      </w:r>
      <w:r>
        <w:rPr>
          <w:rFonts w:hint="eastAsia" w:ascii="楷体" w:hAnsi="楷体" w:eastAsia="楷体" w:cs="楷体"/>
          <w:bCs/>
          <w:sz w:val="24"/>
          <w:lang w:val="zh-CN"/>
        </w:rPr>
        <w:t>.</w:t>
      </w:r>
      <w:r>
        <w:rPr>
          <w:rFonts w:hint="eastAsia" w:ascii="楷体" w:hAnsi="楷体" w:eastAsia="楷体" w:cs="楷体"/>
          <w:bCs/>
          <w:sz w:val="24"/>
        </w:rPr>
        <w:t>1 成交供应商应当</w:t>
      </w:r>
      <w:r>
        <w:rPr>
          <w:rFonts w:hint="eastAsia" w:ascii="楷体" w:hAnsi="楷体" w:eastAsia="楷体" w:cs="楷体"/>
          <w:bCs/>
          <w:sz w:val="24"/>
          <w:lang w:val="zh-CN"/>
        </w:rPr>
        <w:t>自成交通知书发出之日起三十日内，</w:t>
      </w:r>
      <w:r>
        <w:rPr>
          <w:rFonts w:hint="eastAsia" w:ascii="楷体" w:hAnsi="楷体" w:eastAsia="楷体" w:cs="楷体"/>
          <w:bCs/>
          <w:sz w:val="24"/>
        </w:rPr>
        <w:t>与采购人签订政府采购合同，所签订的合同不得对磋商文件和响应文件作实质性修改。</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15</w:t>
      </w:r>
      <w:r>
        <w:rPr>
          <w:rFonts w:hint="eastAsia" w:ascii="楷体" w:hAnsi="楷体" w:eastAsia="楷体" w:cs="楷体"/>
          <w:bCs/>
          <w:sz w:val="24"/>
          <w:lang w:val="zh-CN"/>
        </w:rPr>
        <w:t xml:space="preserve">.2 </w:t>
      </w:r>
      <w:r>
        <w:rPr>
          <w:rFonts w:hint="eastAsia" w:ascii="楷体" w:hAnsi="楷体" w:eastAsia="楷体" w:cs="楷体"/>
          <w:bCs/>
          <w:sz w:val="24"/>
        </w:rPr>
        <w:t>采购人不得向成交供应商提出任何不合理的要求作为签订合同的条件，不得与成交供应商私下订立背离合同实质性内容的协议。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.3</w:t>
      </w:r>
      <w:r>
        <w:rPr>
          <w:rFonts w:hint="eastAsia" w:ascii="楷体" w:hAnsi="楷体" w:eastAsia="楷体" w:cs="楷体"/>
          <w:bCs/>
          <w:sz w:val="24"/>
        </w:rPr>
        <w:t xml:space="preserve"> 除不可抗力等因素外，</w:t>
      </w:r>
      <w:r>
        <w:rPr>
          <w:rFonts w:hint="eastAsia" w:ascii="楷体" w:hAnsi="楷体" w:eastAsia="楷体" w:cs="楷体"/>
          <w:bCs/>
          <w:sz w:val="24"/>
          <w:lang w:val="zh-CN"/>
        </w:rPr>
        <w:t>成交通知书发出后，采购人改变成交结果，或者成交供应商拒绝签订政府采购合同的，应当承担相应的法律责任。</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 xml:space="preserve">.4 </w:t>
      </w:r>
      <w:r>
        <w:rPr>
          <w:rFonts w:hint="eastAsia" w:ascii="楷体" w:hAnsi="楷体" w:eastAsia="楷体" w:cs="楷体"/>
          <w:bCs/>
          <w:sz w:val="24"/>
        </w:rPr>
        <w:t>成交供应商除发生法律规定的不能预见、不能避免并不能克服的客观情况外不得放弃或拒绝签订合同的。放弃或拒绝签订合同的，财政部门视情将其列入不良行为名单，在一至三年内不得参加江苏省政府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.5 成交供应商拒绝签订政府采购合同的，</w:t>
      </w:r>
      <w:r>
        <w:rPr>
          <w:rFonts w:hint="eastAsia" w:ascii="楷体" w:hAnsi="楷体" w:eastAsia="楷体" w:cs="楷体"/>
          <w:bCs/>
          <w:sz w:val="24"/>
        </w:rPr>
        <w:t>或因不可抗力或者自身原因不能履行政府采购合同的，</w:t>
      </w:r>
      <w:r>
        <w:rPr>
          <w:rFonts w:hint="eastAsia" w:ascii="楷体" w:hAnsi="楷体" w:eastAsia="楷体" w:cs="楷体"/>
          <w:bCs/>
          <w:sz w:val="24"/>
          <w:lang w:val="zh-CN"/>
        </w:rPr>
        <w:t>采购人可以视情与排位在成交供应商之后第一位的成交候选供应商签订政府采购合同，也可以重新开展采购活动。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5</w:t>
      </w:r>
      <w:r>
        <w:rPr>
          <w:rFonts w:hint="eastAsia" w:ascii="楷体" w:hAnsi="楷体" w:eastAsia="楷体" w:cs="楷体"/>
          <w:bCs/>
          <w:sz w:val="24"/>
          <w:lang w:val="zh-CN"/>
        </w:rPr>
        <w:t>.6 政府采购合同履行中，采购人需追加与合同标的相同的服务的，在不改变合同其他条款的前提下，可以与供应商协商签订补充合同，但所有补充合同的采购金额不得超过原合同采购金额的百分之十。</w:t>
      </w:r>
    </w:p>
    <w:p>
      <w:pPr>
        <w:pStyle w:val="4"/>
        <w:bidi w:val="0"/>
        <w:rPr>
          <w:rFonts w:hint="eastAsia" w:ascii="Arial" w:hAnsi="Arial"/>
          <w:b/>
          <w:lang w:val="zh-CN"/>
        </w:rPr>
      </w:pPr>
      <w:bookmarkStart w:id="50" w:name="_Toc26301"/>
      <w:bookmarkStart w:id="51" w:name="_Toc487210483"/>
      <w:r>
        <w:rPr>
          <w:rFonts w:hint="eastAsia" w:ascii="Arial" w:hAnsi="Arial"/>
          <w:b/>
        </w:rPr>
        <w:t>五</w:t>
      </w:r>
      <w:r>
        <w:rPr>
          <w:rFonts w:hint="eastAsia" w:ascii="Arial" w:hAnsi="Arial"/>
          <w:b/>
          <w:lang w:val="zh-CN"/>
        </w:rPr>
        <w:t>、询问、质疑、投诉和诚实信用</w:t>
      </w:r>
      <w:bookmarkEnd w:id="50"/>
      <w:bookmarkEnd w:id="51"/>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、询问</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6</w:t>
      </w:r>
      <w:r>
        <w:rPr>
          <w:rFonts w:hint="eastAsia" w:ascii="楷体" w:hAnsi="楷体" w:eastAsia="楷体" w:cs="楷体"/>
          <w:bCs/>
          <w:sz w:val="24"/>
          <w:lang w:val="zh-CN"/>
        </w:rPr>
        <w:t>.1 供应商对采购活动事项有疑问的，可以向</w:t>
      </w:r>
      <w:r>
        <w:rPr>
          <w:rFonts w:hint="eastAsia" w:ascii="楷体" w:hAnsi="楷体" w:eastAsia="楷体" w:cs="楷体"/>
          <w:bCs/>
          <w:sz w:val="24"/>
        </w:rPr>
        <w:t>采购办</w:t>
      </w:r>
      <w:r>
        <w:rPr>
          <w:rFonts w:hint="eastAsia" w:ascii="楷体" w:hAnsi="楷体" w:eastAsia="楷体" w:cs="楷体"/>
          <w:bCs/>
          <w:sz w:val="24"/>
          <w:lang w:val="zh-CN"/>
        </w:rPr>
        <w:t>提出询问，</w:t>
      </w:r>
      <w:r>
        <w:rPr>
          <w:rFonts w:hint="eastAsia" w:ascii="楷体" w:hAnsi="楷体" w:eastAsia="楷体" w:cs="楷体"/>
          <w:bCs/>
          <w:sz w:val="24"/>
        </w:rPr>
        <w:t>采购办</w:t>
      </w:r>
      <w:r>
        <w:rPr>
          <w:rFonts w:hint="eastAsia" w:ascii="楷体" w:hAnsi="楷体" w:eastAsia="楷体" w:cs="楷体"/>
          <w:bCs/>
          <w:sz w:val="24"/>
          <w:lang w:val="zh-CN"/>
        </w:rPr>
        <w:t>将在两个工作日内作出答复，但答复的内容不涉及商业秘密。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、质疑</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.1 供应商认为采购文件、采购过程和成交结果使自己的合法权益受到损害的，可以在知道或者应当知道其权益受到损害之日起七个工作日内，将质疑文件原件送达</w:t>
      </w:r>
      <w:r>
        <w:rPr>
          <w:rFonts w:hint="eastAsia" w:ascii="楷体" w:hAnsi="楷体" w:eastAsia="楷体" w:cs="楷体"/>
          <w:bCs/>
          <w:sz w:val="24"/>
        </w:rPr>
        <w:t>采购办</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.2 质疑文件应包括以下主要内容，并</w:t>
      </w:r>
      <w:r>
        <w:rPr>
          <w:rFonts w:hint="eastAsia" w:ascii="楷体" w:hAnsi="楷体" w:eastAsia="楷体" w:cs="楷体"/>
          <w:bCs/>
          <w:sz w:val="24"/>
        </w:rPr>
        <w:t>按照“谁主张、谁举证”的原则，附上相关证明材料。否则，采购办不予受理：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（1）质疑项目名称、项目编号、包号、采购公告发布时间、磋商时间；</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（2）提起质疑的日期、具体的质疑事项及事实根据（具体条款）；</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（3）认为自己合法权益受到损害或可能受到损害的相关证据材料。</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（4）质疑供应商名称、地址、邮编、联系人、联系电话</w:t>
      </w:r>
      <w:r>
        <w:rPr>
          <w:rFonts w:hint="eastAsia" w:ascii="楷体" w:hAnsi="楷体" w:eastAsia="楷体" w:cs="楷体"/>
          <w:bCs/>
          <w:sz w:val="24"/>
        </w:rPr>
        <w:t>（包括座机、手机、传真号码等）</w:t>
      </w:r>
      <w:r>
        <w:rPr>
          <w:rFonts w:hint="eastAsia" w:ascii="楷体" w:hAnsi="楷体" w:eastAsia="楷体" w:cs="楷体"/>
          <w:bCs/>
          <w:sz w:val="24"/>
          <w:lang w:val="zh-CN"/>
        </w:rPr>
        <w:t>；</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（5）质疑函应当署名，质疑人为自然人的，应当由本人签字并附有效身份证明；质疑人为法人或其他组织的，应当由法定代表人签字并加盖单位公章。</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lang w:val="zh-CN"/>
        </w:rPr>
        <w:t>1</w:t>
      </w:r>
      <w:r>
        <w:rPr>
          <w:rFonts w:hint="eastAsia" w:ascii="楷体" w:hAnsi="楷体" w:eastAsia="楷体" w:cs="楷体"/>
          <w:bCs/>
          <w:sz w:val="24"/>
        </w:rPr>
        <w:t>7</w:t>
      </w:r>
      <w:r>
        <w:rPr>
          <w:rFonts w:hint="eastAsia" w:ascii="楷体" w:hAnsi="楷体" w:eastAsia="楷体" w:cs="楷体"/>
          <w:bCs/>
          <w:sz w:val="24"/>
          <w:lang w:val="zh-CN"/>
        </w:rPr>
        <w:t>.3 质疑</w:t>
      </w:r>
      <w:r>
        <w:rPr>
          <w:rFonts w:hint="eastAsia" w:ascii="楷体" w:hAnsi="楷体" w:eastAsia="楷体" w:cs="楷体"/>
          <w:bCs/>
          <w:sz w:val="24"/>
        </w:rPr>
        <w:t>供应商是指直接参加本项目采购活动的供应商；对采购文件提出质疑的，应自供应商获得采购文件之日起计算，且应当在提交响应文件截止之日前提出；对采购过程提出质疑的，自采购程序环节结束之日起计算；对采购结果提出质疑的，自采购结果公告之日起计算。</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 xml:space="preserve">17.4 </w:t>
      </w:r>
      <w:r>
        <w:rPr>
          <w:rFonts w:hint="eastAsia" w:ascii="楷体" w:hAnsi="楷体" w:eastAsia="楷体" w:cs="楷体"/>
          <w:bCs/>
          <w:sz w:val="24"/>
          <w:lang w:val="zh-CN"/>
        </w:rPr>
        <w:t>采购办</w:t>
      </w:r>
      <w:r>
        <w:rPr>
          <w:rFonts w:hint="eastAsia" w:ascii="楷体" w:hAnsi="楷体" w:eastAsia="楷体" w:cs="楷体"/>
          <w:bCs/>
          <w:sz w:val="24"/>
        </w:rPr>
        <w:t>在收到供应商的书面质疑后将及时组织调查核实，在</w:t>
      </w:r>
      <w:r>
        <w:rPr>
          <w:rFonts w:hint="eastAsia" w:ascii="楷体" w:hAnsi="楷体" w:eastAsia="楷体" w:cs="楷体"/>
          <w:bCs/>
          <w:sz w:val="24"/>
          <w:lang w:val="zh-CN"/>
        </w:rPr>
        <w:t>七个工作日内作出答复，并以书面通知质疑供应商和其他有关供应商，答复的内容不涉及商业秘密。采购办</w:t>
      </w:r>
      <w:r>
        <w:rPr>
          <w:rFonts w:hint="eastAsia" w:ascii="楷体" w:hAnsi="楷体" w:eastAsia="楷体" w:cs="楷体"/>
          <w:bCs/>
          <w:sz w:val="24"/>
        </w:rPr>
        <w:t>遵循“谁过错谁负担”的原则，有过错的一方承担调查论证费用。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 xml:space="preserve">17.5 </w:t>
      </w:r>
      <w:r>
        <w:rPr>
          <w:rFonts w:hint="eastAsia" w:ascii="楷体" w:hAnsi="楷体" w:eastAsia="楷体" w:cs="楷体"/>
          <w:bCs/>
          <w:sz w:val="24"/>
          <w:lang w:val="zh-CN"/>
        </w:rPr>
        <w:t>质疑人质疑时，应当提交质疑书和相关证明材料。质疑书应当由主要负责人签字盖章并加盖公章。质疑人委托代理人办理质疑事务时，应当提交质疑人的授权委托书，授权委托书应当载明委托代理的具体权限和事项。质疑书应当现场提交至采购办，提交时应出示有效身份证明。未按上述要求提交质疑书的，质疑不予受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lang w:val="zh-CN"/>
        </w:rPr>
        <w:t>1</w:t>
      </w:r>
      <w:r>
        <w:rPr>
          <w:rFonts w:hint="eastAsia" w:ascii="楷体" w:hAnsi="楷体" w:eastAsia="楷体" w:cs="楷体"/>
          <w:bCs/>
          <w:sz w:val="24"/>
        </w:rPr>
        <w:t>8</w:t>
      </w:r>
      <w:r>
        <w:rPr>
          <w:rFonts w:hint="eastAsia" w:ascii="楷体" w:hAnsi="楷体" w:eastAsia="楷体" w:cs="楷体"/>
          <w:bCs/>
          <w:sz w:val="24"/>
          <w:lang w:val="zh-CN"/>
        </w:rPr>
        <w:t>.1质疑供应商对采购办的答复不满意，或采购办未在规定的时间内作出答复的，可以在答复期满后十五个工作日内向采购项目同级财政部门投诉。</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、诚实信用</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.1 供应商之间不得相互串通报价，不得妨碍其他供应商的公平竞争，不得损害采购人和其他供应商的合法权益。</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.2 供应商不得以向采购办工作人员、磋商小组成员行贿或者采取其他不正当手段谋取成交。经查实供应商有此行为的，</w:t>
      </w:r>
      <w:r>
        <w:rPr>
          <w:rFonts w:hint="eastAsia" w:ascii="楷体" w:hAnsi="楷体" w:eastAsia="楷体" w:cs="楷体"/>
          <w:bCs/>
          <w:sz w:val="24"/>
        </w:rPr>
        <w:t>政府采购管理部门将供应商列入不良行为记录名单，按照《政府采购法》有关规定处理。</w:t>
      </w:r>
    </w:p>
    <w:p>
      <w:pPr>
        <w:snapToGrid w:val="0"/>
        <w:spacing w:line="360" w:lineRule="auto"/>
        <w:ind w:firstLine="480" w:firstLineChars="200"/>
        <w:rPr>
          <w:rFonts w:hint="eastAsia" w:ascii="楷体" w:hAnsi="楷体" w:eastAsia="楷体" w:cs="楷体"/>
          <w:bCs/>
          <w:sz w:val="24"/>
        </w:rPr>
      </w:pPr>
      <w:r>
        <w:rPr>
          <w:rFonts w:hint="eastAsia" w:ascii="楷体" w:hAnsi="楷体" w:eastAsia="楷体" w:cs="楷体"/>
          <w:bCs/>
          <w:sz w:val="24"/>
        </w:rPr>
        <w:t>19</w:t>
      </w:r>
      <w:r>
        <w:rPr>
          <w:rFonts w:hint="eastAsia" w:ascii="楷体" w:hAnsi="楷体" w:eastAsia="楷体" w:cs="楷体"/>
          <w:bCs/>
          <w:sz w:val="24"/>
          <w:lang w:val="zh-CN"/>
        </w:rPr>
        <w:t>.3 供应商不得虚假质疑和恶意质疑，并对质疑内容的真实性承担责任。</w:t>
      </w:r>
      <w:r>
        <w:rPr>
          <w:rFonts w:hint="eastAsia" w:ascii="楷体" w:hAnsi="楷体" w:eastAsia="楷体" w:cs="楷体"/>
          <w:bCs/>
          <w:sz w:val="24"/>
        </w:rPr>
        <w:t>供应商通过捏造事实、伪造证明材料等方式提出异议或投诉，阻碍政府采购活动正常进行的，属于严重不良行为，采购办将提请财政部门将其列入不良行为记录名单，并依法予以处罚。</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.4 供应商不得虚假承诺，否则，按照提供虚假材料谋取成交处理。</w:t>
      </w:r>
    </w:p>
    <w:p>
      <w:pPr>
        <w:snapToGrid w:val="0"/>
        <w:spacing w:line="360" w:lineRule="auto"/>
        <w:ind w:firstLine="480" w:firstLineChars="200"/>
        <w:rPr>
          <w:rFonts w:hint="eastAsia" w:ascii="楷体" w:hAnsi="楷体" w:eastAsia="楷体" w:cs="楷体"/>
          <w:bCs/>
          <w:sz w:val="24"/>
          <w:lang w:val="zh-CN"/>
        </w:rPr>
      </w:pPr>
      <w:r>
        <w:rPr>
          <w:rFonts w:hint="eastAsia" w:ascii="楷体" w:hAnsi="楷体" w:eastAsia="楷体" w:cs="楷体"/>
          <w:bCs/>
          <w:sz w:val="24"/>
        </w:rPr>
        <w:t>19</w:t>
      </w:r>
      <w:r>
        <w:rPr>
          <w:rFonts w:hint="eastAsia" w:ascii="楷体" w:hAnsi="楷体" w:eastAsia="楷体" w:cs="楷体"/>
          <w:bCs/>
          <w:sz w:val="24"/>
          <w:lang w:val="zh-CN"/>
        </w:rPr>
        <w:t>.5 供应商应自觉遵守磋商、评审纪律，扰乱磋商、评审现场秩序的，属于失信行为，根据《江苏省政府采购供应商监督管理暂行办法》，失信行为将被记入供应商诚信档案。</w:t>
      </w:r>
    </w:p>
    <w:bookmarkEnd w:id="34"/>
    <w:bookmarkEnd w:id="35"/>
    <w:bookmarkEnd w:id="36"/>
    <w:p>
      <w:pPr>
        <w:pStyle w:val="23"/>
        <w:spacing w:after="319"/>
        <w:rPr>
          <w:rFonts w:hint="eastAsia" w:ascii="楷体" w:hAnsi="楷体" w:eastAsia="楷体" w:cs="楷体"/>
          <w:sz w:val="40"/>
        </w:rPr>
      </w:pPr>
    </w:p>
    <w:p>
      <w:pPr>
        <w:pStyle w:val="23"/>
        <w:spacing w:after="319"/>
        <w:rPr>
          <w:rFonts w:hint="eastAsia" w:ascii="楷体" w:hAnsi="楷体" w:eastAsia="楷体" w:cs="楷体"/>
          <w:sz w:val="40"/>
        </w:rPr>
      </w:pPr>
    </w:p>
    <w:bookmarkEnd w:id="26"/>
    <w:bookmarkEnd w:id="27"/>
    <w:bookmarkEnd w:id="28"/>
    <w:bookmarkEnd w:id="29"/>
    <w:bookmarkEnd w:id="30"/>
    <w:bookmarkEnd w:id="31"/>
    <w:bookmarkEnd w:id="37"/>
    <w:bookmarkEnd w:id="38"/>
    <w:p>
      <w:pPr>
        <w:pStyle w:val="3"/>
        <w:bidi w:val="0"/>
      </w:pPr>
      <w:bookmarkStart w:id="52" w:name="_Toc324237148"/>
      <w:bookmarkStart w:id="53" w:name="_Toc32263"/>
      <w:bookmarkStart w:id="54" w:name="_Toc120614281"/>
      <w:bookmarkStart w:id="55" w:name="_Toc26554093"/>
      <w:bookmarkStart w:id="56" w:name="_Toc49090575"/>
      <w:bookmarkStart w:id="57" w:name="_Toc479757211"/>
      <w:bookmarkStart w:id="58" w:name="_Toc462564139"/>
      <w:r>
        <w:rPr>
          <w:rFonts w:hint="eastAsia"/>
        </w:rPr>
        <w:t xml:space="preserve"> </w:t>
      </w:r>
      <w:bookmarkStart w:id="59" w:name="_Toc7702"/>
      <w:r>
        <w:rPr>
          <w:rFonts w:hint="eastAsia"/>
          <w:lang w:val="en-US" w:eastAsia="zh-CN"/>
        </w:rPr>
        <w:t xml:space="preserve">第三章  </w:t>
      </w:r>
      <w:r>
        <w:rPr>
          <w:rFonts w:hint="eastAsia"/>
        </w:rPr>
        <w:t>项目需求</w:t>
      </w:r>
      <w:bookmarkEnd w:id="52"/>
      <w:bookmarkEnd w:id="53"/>
      <w:bookmarkEnd w:id="59"/>
      <w:bookmarkStart w:id="60" w:name="_Toc18960"/>
      <w:bookmarkStart w:id="61" w:name="_Toc324237156"/>
    </w:p>
    <w:p>
      <w:pPr>
        <w:pStyle w:val="4"/>
        <w:bidi w:val="0"/>
        <w:rPr>
          <w:rFonts w:hint="eastAsia"/>
          <w:lang w:val="zh-CN"/>
        </w:rPr>
      </w:pPr>
      <w:bookmarkStart w:id="62" w:name="_Toc48"/>
      <w:r>
        <w:rPr>
          <w:rFonts w:hint="eastAsia"/>
          <w:lang w:val="zh-CN"/>
        </w:rPr>
        <w:t>一、项目概况</w:t>
      </w:r>
      <w:bookmarkEnd w:id="62"/>
    </w:p>
    <w:p>
      <w:pPr>
        <w:snapToGrid w:val="0"/>
        <w:spacing w:line="360" w:lineRule="auto"/>
        <w:ind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南京交院职业技术学院全光网络施工改造工程，项目地址为位于</w:t>
      </w:r>
      <w:r>
        <w:rPr>
          <w:rFonts w:hint="eastAsia" w:ascii="楷体" w:hAnsi="楷体" w:eastAsia="楷体" w:cs="楷体"/>
          <w:bCs/>
          <w:kern w:val="2"/>
          <w:sz w:val="24"/>
          <w:szCs w:val="21"/>
          <w:lang w:val="zh-CN" w:eastAsia="zh-CN" w:bidi="ar-SA"/>
        </w:rPr>
        <w:fldChar w:fldCharType="begin"/>
      </w:r>
      <w:r>
        <w:rPr>
          <w:rFonts w:hint="eastAsia" w:ascii="楷体" w:hAnsi="楷体" w:eastAsia="楷体" w:cs="楷体"/>
          <w:bCs/>
          <w:kern w:val="2"/>
          <w:sz w:val="24"/>
          <w:szCs w:val="21"/>
          <w:lang w:val="zh-CN" w:eastAsia="zh-CN" w:bidi="ar-SA"/>
        </w:rPr>
        <w:instrText xml:space="preserve"> HYPERLINK "https://baike.sogou.com/lemma/ShowInnerLink.htm?lemmaId=53757&amp;ss_c=ssc.citiao.link" \t "https://baike.sogou.com/_blank" </w:instrText>
      </w:r>
      <w:r>
        <w:rPr>
          <w:rFonts w:hint="eastAsia" w:ascii="楷体" w:hAnsi="楷体" w:eastAsia="楷体" w:cs="楷体"/>
          <w:bCs/>
          <w:kern w:val="2"/>
          <w:sz w:val="24"/>
          <w:szCs w:val="21"/>
          <w:lang w:val="zh-CN" w:eastAsia="zh-CN" w:bidi="ar-SA"/>
        </w:rPr>
        <w:fldChar w:fldCharType="separate"/>
      </w:r>
      <w:r>
        <w:rPr>
          <w:rFonts w:hint="eastAsia" w:ascii="楷体" w:hAnsi="楷体" w:eastAsia="楷体" w:cs="楷体"/>
          <w:bCs/>
          <w:kern w:val="2"/>
          <w:sz w:val="24"/>
          <w:szCs w:val="21"/>
          <w:lang w:val="zh-CN" w:eastAsia="zh-CN" w:bidi="ar-SA"/>
        </w:rPr>
        <w:fldChar w:fldCharType="end"/>
      </w:r>
      <w:r>
        <w:rPr>
          <w:rFonts w:hint="eastAsia" w:ascii="楷体" w:hAnsi="楷体" w:eastAsia="楷体" w:cs="楷体"/>
          <w:bCs/>
          <w:kern w:val="2"/>
          <w:sz w:val="24"/>
          <w:szCs w:val="21"/>
          <w:lang w:val="zh-CN" w:eastAsia="zh-CN" w:bidi="ar-SA"/>
        </w:rPr>
        <w:fldChar w:fldCharType="begin"/>
      </w:r>
      <w:r>
        <w:rPr>
          <w:rFonts w:hint="eastAsia" w:ascii="楷体" w:hAnsi="楷体" w:eastAsia="楷体" w:cs="楷体"/>
          <w:bCs/>
          <w:kern w:val="2"/>
          <w:sz w:val="24"/>
          <w:szCs w:val="21"/>
          <w:lang w:val="zh-CN" w:eastAsia="zh-CN" w:bidi="ar-SA"/>
        </w:rPr>
        <w:instrText xml:space="preserve"> HYPERLINK "https://baike.sogou.com/lemma/ShowInnerLink.htm?lemmaId=634199&amp;ss_c=ssc.citiao.link" \t "https://baike.sogou.com/_blank" </w:instrText>
      </w:r>
      <w:r>
        <w:rPr>
          <w:rFonts w:hint="eastAsia" w:ascii="楷体" w:hAnsi="楷体" w:eastAsia="楷体" w:cs="楷体"/>
          <w:bCs/>
          <w:kern w:val="2"/>
          <w:sz w:val="24"/>
          <w:szCs w:val="21"/>
          <w:lang w:val="zh-CN" w:eastAsia="zh-CN" w:bidi="ar-SA"/>
        </w:rPr>
        <w:fldChar w:fldCharType="separate"/>
      </w:r>
      <w:r>
        <w:rPr>
          <w:rFonts w:hint="eastAsia" w:ascii="楷体" w:hAnsi="楷体" w:eastAsia="楷体" w:cs="楷体"/>
          <w:bCs/>
          <w:kern w:val="2"/>
          <w:sz w:val="24"/>
          <w:szCs w:val="21"/>
          <w:lang w:val="zh-CN" w:eastAsia="zh-CN" w:bidi="ar-SA"/>
        </w:rPr>
        <w:t>江宁大学城</w:t>
      </w:r>
      <w:r>
        <w:rPr>
          <w:rFonts w:hint="eastAsia" w:ascii="楷体" w:hAnsi="楷体" w:eastAsia="楷体" w:cs="楷体"/>
          <w:bCs/>
          <w:kern w:val="2"/>
          <w:sz w:val="24"/>
          <w:szCs w:val="21"/>
          <w:lang w:val="zh-CN" w:eastAsia="zh-CN" w:bidi="ar-SA"/>
        </w:rPr>
        <w:fldChar w:fldCharType="end"/>
      </w:r>
      <w:r>
        <w:rPr>
          <w:rFonts w:hint="eastAsia" w:ascii="楷体" w:hAnsi="楷体" w:eastAsia="楷体" w:cs="楷体"/>
          <w:bCs/>
          <w:kern w:val="2"/>
          <w:sz w:val="24"/>
          <w:szCs w:val="21"/>
          <w:lang w:val="zh-CN" w:eastAsia="zh-CN" w:bidi="ar-SA"/>
        </w:rPr>
        <w:t>龙眠大道629号，为学院2020年度工程项目实施计划，拟对全院进行全光网络施工，工程造价约1500万元。本招标</w:t>
      </w:r>
      <w:r>
        <w:rPr>
          <w:rFonts w:hint="eastAsia" w:ascii="楷体" w:hAnsi="楷体" w:eastAsia="楷体" w:cs="楷体"/>
          <w:bCs/>
          <w:kern w:val="2"/>
          <w:sz w:val="24"/>
          <w:szCs w:val="21"/>
          <w:lang w:val="en-US" w:eastAsia="zh-CN" w:bidi="ar-SA"/>
        </w:rPr>
        <w:t>是</w:t>
      </w:r>
      <w:r>
        <w:rPr>
          <w:rFonts w:hint="eastAsia" w:ascii="楷体" w:hAnsi="楷体" w:eastAsia="楷体" w:cs="楷体"/>
          <w:bCs/>
          <w:kern w:val="2"/>
          <w:sz w:val="24"/>
          <w:szCs w:val="21"/>
          <w:lang w:val="zh-CN" w:eastAsia="zh-CN" w:bidi="ar-SA"/>
        </w:rPr>
        <w:t>全院进行全光网络施工</w:t>
      </w:r>
      <w:r>
        <w:rPr>
          <w:rFonts w:hint="eastAsia" w:ascii="楷体" w:hAnsi="楷体" w:eastAsia="楷体" w:cs="楷体"/>
          <w:bCs/>
          <w:kern w:val="2"/>
          <w:sz w:val="24"/>
          <w:szCs w:val="21"/>
          <w:lang w:val="en-US" w:eastAsia="zh-CN" w:bidi="ar-SA"/>
        </w:rPr>
        <w:t>的</w:t>
      </w:r>
      <w:r>
        <w:rPr>
          <w:rFonts w:hint="eastAsia" w:ascii="楷体" w:hAnsi="楷体" w:eastAsia="楷体" w:cs="楷体"/>
          <w:bCs/>
          <w:kern w:val="2"/>
          <w:sz w:val="24"/>
          <w:szCs w:val="21"/>
          <w:lang w:val="zh-CN" w:eastAsia="zh-CN" w:bidi="ar-SA"/>
        </w:rPr>
        <w:t>网络建设监理项目，项目总预算</w:t>
      </w:r>
      <w:r>
        <w:rPr>
          <w:rFonts w:hint="eastAsia" w:ascii="楷体" w:hAnsi="楷体" w:eastAsia="楷体" w:cs="楷体"/>
          <w:bCs/>
          <w:kern w:val="2"/>
          <w:sz w:val="24"/>
          <w:szCs w:val="21"/>
          <w:lang w:val="en-US" w:eastAsia="zh-CN" w:bidi="ar-SA"/>
        </w:rPr>
        <w:t>18.5</w:t>
      </w:r>
      <w:r>
        <w:rPr>
          <w:rFonts w:hint="eastAsia" w:ascii="楷体" w:hAnsi="楷体" w:eastAsia="楷体" w:cs="楷体"/>
          <w:bCs/>
          <w:kern w:val="2"/>
          <w:sz w:val="24"/>
          <w:szCs w:val="21"/>
          <w:lang w:val="zh-CN" w:eastAsia="zh-CN" w:bidi="ar-SA"/>
        </w:rPr>
        <w:t>万元。</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具体内容如下：</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en-US" w:eastAsia="zh-CN" w:bidi="ar-SA"/>
        </w:rPr>
        <w:t>(</w:t>
      </w:r>
      <w:r>
        <w:rPr>
          <w:rFonts w:hint="eastAsia" w:ascii="楷体" w:hAnsi="楷体" w:eastAsia="楷体" w:cs="楷体"/>
          <w:b/>
          <w:bCs w:val="0"/>
          <w:kern w:val="2"/>
          <w:sz w:val="24"/>
          <w:szCs w:val="21"/>
          <w:lang w:val="zh-CN" w:eastAsia="zh-CN" w:bidi="ar-SA"/>
        </w:rPr>
        <w:t>一</w:t>
      </w:r>
      <w:r>
        <w:rPr>
          <w:rFonts w:hint="eastAsia" w:ascii="楷体" w:hAnsi="楷体" w:eastAsia="楷体" w:cs="楷体"/>
          <w:b/>
          <w:bCs w:val="0"/>
          <w:kern w:val="2"/>
          <w:sz w:val="24"/>
          <w:szCs w:val="21"/>
          <w:lang w:val="en-US" w:eastAsia="zh-CN" w:bidi="ar-SA"/>
        </w:rPr>
        <w:t>)</w:t>
      </w:r>
      <w:r>
        <w:rPr>
          <w:rFonts w:hint="eastAsia" w:ascii="楷体" w:hAnsi="楷体" w:eastAsia="楷体" w:cs="楷体"/>
          <w:b/>
          <w:bCs w:val="0"/>
          <w:kern w:val="2"/>
          <w:sz w:val="24"/>
          <w:szCs w:val="21"/>
          <w:lang w:val="zh-CN" w:eastAsia="zh-CN" w:bidi="ar-SA"/>
        </w:rPr>
        <w:t>食堂、学生公寓区</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1.主要施工范围及组网架构：</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本次对校区内行政楼等楼宇进行光网改造，采用10G PON方式进行建设，在图书馆5楼中心机房部署一套OLT设备，OLT设备上联至学院校园网。采用OLT+ONU\ONT二级组网方式，保持架构可扩展。根据不同场景的需要，无线网使用放装AP、高密AP和室外AP，AP直接连入ONU\ONT。部署一套网管系统，对所有的PON设备和AP设备分别或统一进行集中管理和维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2.光缆建设需求：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光缆的建设采用中心机房-楼宇，一段式设计。校区生活区域共计16栋楼宇布放光缆，根据需求集中设立一个汇聚节点，汇聚节点新敷设144芯光缆到中心机房，汇聚节点敷设12芯光缆至楼栋。</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本项目改造楼栋从弱电间新敷设2芯光缆至接入终端（食堂ONU/宿舍走廊ONU）。具体方案为：从图书馆5楼中心机房新放2条144芯光缆（物理双路由）覆盖学生公寓A南、A北、B南、B北、C南、C北、D南、D北、E南、E北、F南、F北、J南、J北、I，通过分支至每栋楼汇聚节点12芯成端。</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3.改造建设主要工作说明：</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施工改造范围内所有线路需按院方要求做好标签标识，提供完整的工程建设资料，便于后期维护。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学生宿舍：从一楼弱电间新放2芯铠装光缆至每层弱电间分光器，采用1：8分光方式，每层走廊新设4个挂装信息箱，信息箱内放置8口ONU，电源线从楼层弱电间布放线槽至信息箱内，信息箱内增加5孔插座，每个宿舍房间新增1个放装式4口AP，从AP布放线槽走网线至室内4个网络信息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食堂用餐区：从弱电间新房2芯光缆，采用1：8分光方式，每个用餐区放置1个挂装信息箱，信息箱内放置8口ONU，电源线从楼层弱电间布放线槽至信息箱内，信息箱内增加5孔插座。每个用餐区放置4个放装式高密AP。</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（3）食堂办公区：从弱电间新放2芯光缆，采用1：8分光方式，房间内新增信息箱（门后离地1.5米），新增8口ONU及放装式AP，电源线从墙体插座布放线槽至信息箱内，信息箱内增加空气开关、插排。</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（二）办公、教学区</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1.主要施工范围及组网架构：</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本次对校区内行政楼等楼宇进行光网改造，采用10G PON方式进行建设，在图书馆5楼中心机房部署一套OLT设备，OLT设备上联至学院校园网。采用OLT+ONU\ONT二级组网方式，保持架构可扩展。根据不同场景的需要，无线网使用放装AP和高密AP，AP直接连入ONU\ONT。部署一套网管系统，对所有的PON设备和AP设备分别或统一进行集中管理和维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2.光缆建设需求：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光缆的建设采用中心机房-楼宇，一段式设计。校区办公区域共计10栋楼宇布放光缆，根据需求每栋楼集中设立一个汇聚节点，汇聚节点新敷设24芯光缆到中心机房。</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本项目改造楼栋从弱电间新敷设6芯光缆至接入终端（教室、办公室）。从图书馆5楼中心机房新放1条24芯光缆至行政楼3楼机房，新放1条24芯光缆至图书馆1楼机房，新放1条96芯光缆覆盖致远楼、明志楼、修远楼、广宇楼，通过分支至每栋楼汇聚节点24芯成端，新放1条96芯光缆覆盖宏博楼、齐贤楼、明德楼、体育馆，通过分支至每栋楼汇聚节点24芯成端。</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3.改造建设主要工作说明：</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所有线路需按甲方要求做好标签标识，提供完整的工程建设资料，便于后期维护。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（1）教室：从弱电间新放4芯光缆，采用1：32分光方式，房间内新增信息箱（门后离地1.5米），新增8口ONU及放装式AP，电源线从墙体插座布放线槽至信息箱内，信息箱内增加空气开关、插排。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（2）办公室：从弱电间新放4芯光缆，采用1：32分光方式，房间内新增信息箱，（门后离地1.5米），新增4口ONU及放装式AP，电源线从墙体插座布放线槽至信息箱内，信息箱内增加空气开关、插排。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（3）会议室：从弱电间新放4芯光缆，采用1：32分光方式，房间内新增信息箱（门后离地1.5米），新增8口ONU及放装式AP，电源线从墙体插座布放线槽至信息箱内，信息箱内增加空气开关、插排。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（4）实验室及车间：从弱电间新放4芯光缆，采用1：32分光方式，房间内新增信息箱（门后离地1.5米），新增8口ONU及放装式AP，电源线从墙体插座布放线槽至信息箱内，信息箱内增加空气开关、插排。</w:t>
      </w:r>
    </w:p>
    <w:p>
      <w:pPr>
        <w:pStyle w:val="4"/>
        <w:bidi w:val="0"/>
        <w:rPr>
          <w:rFonts w:hint="eastAsia" w:ascii="Arial" w:hAnsi="Arial"/>
          <w:b/>
          <w:lang w:val="en-US" w:eastAsia="zh-CN"/>
        </w:rPr>
      </w:pPr>
      <w:bookmarkStart w:id="63" w:name="_Toc8806"/>
      <w:r>
        <w:rPr>
          <w:rFonts w:hint="eastAsia" w:ascii="Arial" w:hAnsi="Arial"/>
          <w:b/>
          <w:lang w:val="en-US" w:eastAsia="zh-CN"/>
        </w:rPr>
        <w:t>二、</w:t>
      </w:r>
      <w:r>
        <w:rPr>
          <w:rFonts w:hint="eastAsia" w:ascii="Arial" w:hAnsi="Arial"/>
          <w:b/>
          <w:lang w:val="zh-CN"/>
        </w:rPr>
        <w:t>供应商要求</w:t>
      </w:r>
      <w:bookmarkEnd w:id="63"/>
    </w:p>
    <w:p>
      <w:pPr>
        <w:widowControl w:val="0"/>
        <w:autoSpaceDE w:val="0"/>
        <w:autoSpaceDN w:val="0"/>
        <w:snapToGrid w:val="0"/>
        <w:spacing w:line="360" w:lineRule="auto"/>
        <w:ind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w:t>
      </w:r>
      <w:r>
        <w:rPr>
          <w:rFonts w:hint="eastAsia" w:ascii="楷体" w:hAnsi="楷体" w:eastAsia="楷体" w:cs="楷体"/>
          <w:b/>
          <w:bCs w:val="0"/>
          <w:kern w:val="2"/>
          <w:sz w:val="24"/>
          <w:szCs w:val="21"/>
          <w:lang w:val="en-US" w:eastAsia="zh-CN" w:bidi="ar-SA"/>
        </w:rPr>
        <w:t>一</w:t>
      </w:r>
      <w:r>
        <w:rPr>
          <w:rFonts w:hint="eastAsia" w:ascii="楷体" w:hAnsi="楷体" w:eastAsia="楷体" w:cs="楷体"/>
          <w:b/>
          <w:bCs w:val="0"/>
          <w:kern w:val="2"/>
          <w:sz w:val="24"/>
          <w:szCs w:val="21"/>
          <w:lang w:val="zh-CN" w:eastAsia="zh-CN" w:bidi="ar-SA"/>
        </w:rPr>
        <w:t>）监理目标及周期</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在项目实施过程中，充分发挥业主的参谋助手作用，为业主提供专业的项目咨询监理服务，以保证项目的进度、质量、成本满足建设的要求，提高项目建设各方的满意度。本次采购监理服务周期为</w:t>
      </w:r>
      <w:r>
        <w:rPr>
          <w:rFonts w:hint="eastAsia" w:ascii="楷体" w:hAnsi="楷体" w:eastAsia="楷体" w:cs="楷体"/>
          <w:bCs/>
          <w:kern w:val="2"/>
          <w:sz w:val="24"/>
          <w:szCs w:val="21"/>
          <w:lang w:val="en-US" w:eastAsia="zh-CN" w:bidi="ar-SA"/>
        </w:rPr>
        <w:t>项目</w:t>
      </w:r>
      <w:r>
        <w:rPr>
          <w:rFonts w:hint="eastAsia" w:ascii="楷体" w:hAnsi="楷体" w:eastAsia="楷体" w:cs="楷体"/>
          <w:bCs/>
          <w:kern w:val="2"/>
          <w:sz w:val="24"/>
          <w:szCs w:val="21"/>
          <w:lang w:val="zh-CN" w:eastAsia="zh-CN" w:bidi="ar-SA"/>
        </w:rPr>
        <w:t>建设、试运行、验收全过程。</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w:t>
      </w:r>
      <w:r>
        <w:rPr>
          <w:rFonts w:hint="eastAsia" w:ascii="楷体" w:hAnsi="楷体" w:eastAsia="楷体" w:cs="楷体"/>
          <w:b/>
          <w:bCs w:val="0"/>
          <w:kern w:val="2"/>
          <w:sz w:val="24"/>
          <w:szCs w:val="21"/>
          <w:lang w:val="en-US" w:eastAsia="zh-CN" w:bidi="ar-SA"/>
        </w:rPr>
        <w:t>二</w:t>
      </w:r>
      <w:r>
        <w:rPr>
          <w:rFonts w:hint="eastAsia" w:ascii="楷体" w:hAnsi="楷体" w:eastAsia="楷体" w:cs="楷体"/>
          <w:b/>
          <w:bCs w:val="0"/>
          <w:kern w:val="2"/>
          <w:sz w:val="24"/>
          <w:szCs w:val="21"/>
          <w:lang w:val="zh-CN" w:eastAsia="zh-CN" w:bidi="ar-SA"/>
        </w:rPr>
        <w:t>）监理范围及工作内容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1、★监理范围</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供应商须根据采购人的要求，从施工单位进场施工起至项目终验结束。监理单位根据项目施工过程中各工序节点的要求，开展监理工作，工作范围包括：项目施工阶段的咨询、方案的评审，施工过程中四控三管一协调监理及项目验收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2、项目施工阶段监理工作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（1）工作内容：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A、召开项目监理交底会，下发项目管理制度，建设项目联系人制度；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B、督促承建单位提交项目实施组织设计书并审核；</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C、审核和确认承建单位的开发计划、安装调试计划、测试计划方案；</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D、签发项目开工令；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E、对项目进行合理阶段划分；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F、定期汇报项目监理情况；</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G、检查各项目建设内容实施的环境准备情况；</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H、对软、硬件设备等进行到货测试验收；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I、对设备安装调试进行现场监理；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J、对软件开发进行代码规范测查；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K、监督项目实施组织计划进度与实际进度的符合性，使计划进度与实际进度偏差最小化并提出合理化建议；</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L、对项目实施过程中的变更进行审核；</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M、审批承建单位项目延期申请；</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N、处理项目实施过程中出现的质量等问题；</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O、审查项目培训计划、培训教材；</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P、配合建设单位负责承建单位之间的工作协调安排；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Q、组织技术问题专题研讨会；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R、项目文档的整理归集。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（2）工作成果：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A、项目管理制度；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B、项目工作联系表；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C、项目实施组织设计审批表；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D、开发计划、安装调试计划、测试计划审批表；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E、阶段划分建议书；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F、会议纪要；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G、周报；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H、月报；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I、项目进展情况汇报；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J、项目实施准备检查记录单；</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K、到货验收单；</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L、设备安装调试现场记录单；</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M、项目变更审批意见；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N、项目会商记录；</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O、项目款项支付审核意见；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P、事故处理意见；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Q、培训计划审批表；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R、培训工作反馈意见表；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S、项目培训现场监督；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T、项目协调会议纪要；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U、技术专题会议纪要；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V、项目实施阶段文档汇编。</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（4）项目初验和试运行阶段咨询监理工作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（1）工作内容：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A、审查承建单位初验申请及证明材料；</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B、审查承建单位试运行保障计划；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C、编制项目初验方案；</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E、组织初验文档检查工作；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F、协助聘请初验会议专家；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G、监督初验意见的整改工作；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H、签署初验报告；</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I、签发试运行监理通知书；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J、试运行工作管理；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K、试运行阶段例会；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L、试运行情况总结；</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M、跟踪试运行问题情况处理。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（2）项目质量控制：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A、总体规划质量的控制：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a.所循规范与标准的审核和确认；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b.业务的市域特色的审核和确认；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c.组织总体规划方案的评审与验收。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B、系统集成质量的控制：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a.系统集成方案的审核和确认；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b.审核关键设备、系统软件选型方案，协助系统集成商和建设方进行选型；</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c.对采购的硬件设备的质量进行检验、测试和验收；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d.对设备安装、系统软件的安装调试进行验收；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e.对系统集成进行整体验收。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C、人员培训的质量控制：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a.审核确认承建单位的培训计划；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b.监督承建单位实施其培训计划，并征求用户的反馈意见；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c.监督审查考核工作，评估培训效果；</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d.审核确认承建单位的培训总结报告。</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D、项目进度控制：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a.审核承建单位的进度分解计划，确认分解计划可以保证整体计划目标；</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b.对项目实施进度进行实时跟踪，并要求承建单位对进度计划进行动态调整，以确保项目的阶段和总体进度目标的实现；</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c.当工期目标偏离时，及时指出，并提出对策建议，同时督促承建单位尽快采取措施。</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（3）项目投资控制：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A、通过对项目实施中的方案及设计的优化，确保投资控制在合理、性价比高的范围内；</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B、协助建设单位做好项目支付预算的现金流量表，将付款进度与项目质量、工作进度结合起来。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（4）项目进度控制：按照项目制定工作计划，协调各方人员及时做好相关工作，确保项目推进进度。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（5）项目合同管理：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A、跟踪检查合同的执行情况，确保承建单位按时履约；</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B、对合同工期的延误和延期进行审核确认；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C、对合同变更、索赔等事宜进行审核确认；</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D、根据合同约定，审核承建单位提交的支付申请，签发付款凭证。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（6）信息管理／项目文档管理：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A、做好监理日记及项目大事记；</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B、做好合同批复等各类往来文件的批复和存档；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C、做好项目协调会、技术专题会等各项会议纪要；</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D、管理好实施期间的各类、各方技术文档；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E、做好项目周报；</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F、做好监理建议书和监理通知书存档；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G、阶段性项目总结。</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供应商按照要求及时进行信息归总及文档规整工作，并在规定时间内将移交资料提交给采购人，如不按此要求执行的，本合同自动延期至移交资料完整交接为止。</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（7）经项目承建方委托，负责协调本项目所涉及的各承建单位之间的工作关系，并协调解决项目建设过程中的各类纠纷。</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（8）监理方应该通过必要的会议制度来实施协调工作，主要包括：</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A、现场会；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B、监理交底会；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C、周例会；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D、监理协调会；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E、专题讨论会；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F、专家论证会；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G、阶段工作总结会；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H、问题通报会；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I、阶段及最终验收会。</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（9）咨询监理服务准则：</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遵照《中华人民共和国标准化法》、《中华人民共和国标准化法实施条例》以及国家信息产业部《信息系统工程监理暂行规定》，以“守法、诚信、公正、科学”的准则执业，维护采购人与承建方的合法权益。具体应做到：</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A、从客户战略出发、以客户需求为中心，参照ITSS对IT服务进行全面系统的规划设计，为IT服务的部署实施做好准备，以确保为最终客户提供满足其需求的服务；</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B、执行有关项目建设的法律、法规、规范、标准和制度，履行监理合同规定的义务和职责；</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C、不收受被监理单位的任何礼金；</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D、不泄露所监理项目各方认为需要保密的事项；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E、遵守国家的法律和政府的有关条例、规定和办法等；</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F、坚持公正的立场，独立、公正地处理有关各方的争议；</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G、坚持科学的态度和实事求是的原则；</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H、在坚持按监理合同的规定向建设单位提供技术服务的同时，帮助被监理者完成起担负的建设任务；</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I、不泄漏所监理的项目需保密的事项。</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（10）咨询监理服务遵照的依据：</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A、ITSS信息技术服务标准；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B、国家信息产业部有关信息系统工程建设和监理管理规范；</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C、采购人与项目承建单位签订的合同和协议；</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D、采购人与中标供应商或成交供应商签订的监理合同；</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E、国家有关技术规范和标准。</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（11）按照采购人要求配合审计部门或第三方专业机构对采购人项目的审计工作，提供相关资料。</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12）保密要求：所有参与监理项目的人员签订正式保密协议，并在工作中坚持保密原则，供应商严格规范执行各项保密制度，对在项目招标、建设、质保各阶段取得采购人各类信息进行保密管理，杜绝任何泄密事件的发生。</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w:t>
      </w:r>
      <w:r>
        <w:rPr>
          <w:rFonts w:hint="eastAsia" w:ascii="楷体" w:hAnsi="楷体" w:eastAsia="楷体" w:cs="楷体"/>
          <w:b/>
          <w:bCs w:val="0"/>
          <w:kern w:val="2"/>
          <w:sz w:val="24"/>
          <w:szCs w:val="21"/>
          <w:lang w:val="en-US" w:eastAsia="zh-CN" w:bidi="ar-SA"/>
        </w:rPr>
        <w:t>三</w:t>
      </w:r>
      <w:r>
        <w:rPr>
          <w:rFonts w:hint="eastAsia" w:ascii="楷体" w:hAnsi="楷体" w:eastAsia="楷体" w:cs="楷体"/>
          <w:b/>
          <w:bCs w:val="0"/>
          <w:kern w:val="2"/>
          <w:sz w:val="24"/>
          <w:szCs w:val="21"/>
          <w:lang w:val="zh-CN" w:eastAsia="zh-CN" w:bidi="ar-SA"/>
        </w:rPr>
        <w:t>）监理工作要求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★①项目人员与组织机构</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项目在实施过程中，监理单位要保证整个监理团队至少应包括总监理1名，监理员1名；人员姓名、身份证号、相关证书、工作经历、参与项目经验）等均需在响应文件中响应。</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②如应采购人需要，供应商还需组织安排相关专业领域的专家加入到管理工作中来。供应商应无条件同意采购人因工作需要提出的加班时间安排。</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③合同签定之日起，供应商在响应文件中明确的监理人员（任何一个或全部）在收到采购人的请求后1小时内不能按要求上门提供服务的，采购人将按合同总额的千分之五/人次扣款。供应商须承诺无条件同意采购人的此项要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④现场项目管理人员需确保固定，原则上不得变动，确因特殊情况需调整的，需提前1个月向采购人提出申请，在确保工作不受影响，所调换人员资质及工作水平不低于变动人员的前提下，经采购人同意方可做人员调整。未按以上要求发生的人员随意调整，采购人将按合同总额的千分之十/人次扣款。供应商提供项目工作人员如需休合理假期，需提前一周向采购人申请，在保证工作不受影响的前提下，经采购人同意后方可休假。</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fldChar w:fldCharType="begin"/>
      </w:r>
      <w:r>
        <w:rPr>
          <w:rFonts w:hint="eastAsia" w:ascii="楷体" w:hAnsi="楷体" w:eastAsia="楷体" w:cs="楷体"/>
          <w:bCs/>
          <w:kern w:val="2"/>
          <w:sz w:val="24"/>
          <w:szCs w:val="21"/>
          <w:lang w:val="zh-CN" w:eastAsia="zh-CN" w:bidi="ar-SA"/>
        </w:rPr>
        <w:instrText xml:space="preserve"> = 5 \* GB3 \* MERGEFORMAT </w:instrText>
      </w:r>
      <w:r>
        <w:rPr>
          <w:rFonts w:hint="eastAsia" w:ascii="楷体" w:hAnsi="楷体" w:eastAsia="楷体" w:cs="楷体"/>
          <w:bCs/>
          <w:kern w:val="2"/>
          <w:sz w:val="24"/>
          <w:szCs w:val="21"/>
          <w:lang w:val="zh-CN" w:eastAsia="zh-CN" w:bidi="ar-SA"/>
        </w:rPr>
        <w:fldChar w:fldCharType="separate"/>
      </w:r>
      <w:r>
        <w:rPr>
          <w:rFonts w:hint="eastAsia" w:ascii="楷体" w:hAnsi="楷体" w:eastAsia="楷体" w:cs="楷体"/>
          <w:bCs/>
          <w:kern w:val="2"/>
          <w:sz w:val="24"/>
          <w:szCs w:val="21"/>
          <w:lang w:val="zh-CN" w:eastAsia="zh-CN" w:bidi="ar-SA"/>
        </w:rPr>
        <w:t>⑤</w:t>
      </w:r>
      <w:r>
        <w:rPr>
          <w:rFonts w:hint="eastAsia" w:ascii="楷体" w:hAnsi="楷体" w:eastAsia="楷体" w:cs="楷体"/>
          <w:bCs/>
          <w:kern w:val="2"/>
          <w:sz w:val="24"/>
          <w:szCs w:val="21"/>
          <w:lang w:val="zh-CN" w:eastAsia="zh-CN" w:bidi="ar-SA"/>
        </w:rPr>
        <w:fldChar w:fldCharType="end"/>
      </w:r>
      <w:r>
        <w:rPr>
          <w:rFonts w:hint="eastAsia" w:ascii="楷体" w:hAnsi="楷体" w:eastAsia="楷体" w:cs="楷体"/>
          <w:bCs/>
          <w:kern w:val="2"/>
          <w:sz w:val="24"/>
          <w:szCs w:val="21"/>
          <w:lang w:val="zh-CN" w:eastAsia="zh-CN" w:bidi="ar-SA"/>
        </w:rPr>
        <w:t>项目监理方案</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供应商在投标时提交初步监理方案，包含以下内容：明确监理内容和工作重点，在质量控制、进度控制、投资控制、合同与信息管理、安全与保密措施、现场组织协调、安全生产与文明施工等方面明确管理标准和流程。</w:t>
      </w:r>
    </w:p>
    <w:p>
      <w:pPr>
        <w:widowControl w:val="0"/>
        <w:autoSpaceDE w:val="0"/>
        <w:autoSpaceDN w:val="0"/>
        <w:snapToGrid w:val="0"/>
        <w:spacing w:line="360" w:lineRule="auto"/>
        <w:ind w:left="0" w:right="100" w:firstLine="482" w:firstLineChars="200"/>
        <w:rPr>
          <w:rFonts w:hint="eastAsia" w:ascii="楷体" w:hAnsi="楷体" w:eastAsia="楷体" w:cs="楷体"/>
          <w:b/>
          <w:bCs w:val="0"/>
          <w:kern w:val="2"/>
          <w:sz w:val="24"/>
          <w:szCs w:val="21"/>
          <w:lang w:val="zh-CN" w:eastAsia="zh-CN" w:bidi="ar-SA"/>
        </w:rPr>
      </w:pPr>
      <w:r>
        <w:rPr>
          <w:rFonts w:hint="eastAsia" w:ascii="楷体" w:hAnsi="楷体" w:eastAsia="楷体" w:cs="楷体"/>
          <w:b/>
          <w:bCs w:val="0"/>
          <w:kern w:val="2"/>
          <w:sz w:val="24"/>
          <w:szCs w:val="21"/>
          <w:lang w:val="zh-CN" w:eastAsia="zh-CN" w:bidi="ar-SA"/>
        </w:rPr>
        <w:t>（</w:t>
      </w:r>
      <w:r>
        <w:rPr>
          <w:rFonts w:hint="eastAsia" w:ascii="楷体" w:hAnsi="楷体" w:eastAsia="楷体" w:cs="楷体"/>
          <w:b/>
          <w:bCs w:val="0"/>
          <w:kern w:val="2"/>
          <w:sz w:val="24"/>
          <w:szCs w:val="21"/>
          <w:lang w:val="en-US" w:eastAsia="zh-CN" w:bidi="ar-SA"/>
        </w:rPr>
        <w:t>四</w:t>
      </w:r>
      <w:r>
        <w:rPr>
          <w:rFonts w:hint="eastAsia" w:ascii="楷体" w:hAnsi="楷体" w:eastAsia="楷体" w:cs="楷体"/>
          <w:b/>
          <w:bCs w:val="0"/>
          <w:kern w:val="2"/>
          <w:sz w:val="24"/>
          <w:szCs w:val="21"/>
          <w:lang w:val="zh-CN" w:eastAsia="zh-CN" w:bidi="ar-SA"/>
        </w:rPr>
        <w:t>）其他要求</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en-US" w:eastAsia="zh-CN" w:bidi="ar-SA"/>
        </w:rPr>
        <w:t>1</w:t>
      </w:r>
      <w:r>
        <w:rPr>
          <w:rFonts w:hint="eastAsia" w:ascii="楷体" w:hAnsi="楷体" w:eastAsia="楷体" w:cs="楷体"/>
          <w:bCs/>
          <w:kern w:val="2"/>
          <w:sz w:val="24"/>
          <w:szCs w:val="21"/>
          <w:lang w:val="zh-CN" w:eastAsia="zh-CN" w:bidi="ar-SA"/>
        </w:rPr>
        <w:t>、供应商应承诺响应文件中提供的投标人资格、资质证明文件不存在隐瞒、与实际情况不符等情况，采购人有权在投标人中标后对投标人相关资质、资格和能力进行考察验证，如果存在重大差异，有权取消或终止合同。</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en-US" w:eastAsia="zh-CN" w:bidi="ar-SA"/>
        </w:rPr>
        <w:t>2</w:t>
      </w:r>
      <w:r>
        <w:rPr>
          <w:rFonts w:hint="eastAsia" w:ascii="楷体" w:hAnsi="楷体" w:eastAsia="楷体" w:cs="楷体"/>
          <w:bCs/>
          <w:kern w:val="2"/>
          <w:sz w:val="24"/>
          <w:szCs w:val="21"/>
          <w:lang w:val="zh-CN" w:eastAsia="zh-CN" w:bidi="ar-SA"/>
        </w:rPr>
        <w:t>、供应商承诺已充分了解了本此招标的项目需求，对采购的服务做了充分的评估，能够满足本次项目建设的目标，采购人在本项目建设周期内将不再需要另外采购其他服务，否则需要在响应文件中进行说明。</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en-US" w:eastAsia="zh-CN" w:bidi="ar-SA"/>
        </w:rPr>
        <w:t>3</w:t>
      </w:r>
      <w:r>
        <w:rPr>
          <w:rFonts w:hint="eastAsia" w:ascii="楷体" w:hAnsi="楷体" w:eastAsia="楷体" w:cs="楷体"/>
          <w:bCs/>
          <w:kern w:val="2"/>
          <w:sz w:val="24"/>
          <w:szCs w:val="21"/>
          <w:lang w:val="zh-CN" w:eastAsia="zh-CN" w:bidi="ar-SA"/>
        </w:rPr>
        <w:t>、供应商应承诺在项目完成时将项目的全部有关技术文件、资料及测试、验收报告等文档汇集成册交付采购人。</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en-US" w:eastAsia="zh-CN" w:bidi="ar-SA"/>
        </w:rPr>
        <w:t>三、</w:t>
      </w:r>
      <w:r>
        <w:rPr>
          <w:rFonts w:hint="eastAsia" w:ascii="楷体" w:hAnsi="楷体" w:eastAsia="楷体" w:cs="楷体"/>
          <w:bCs/>
          <w:kern w:val="2"/>
          <w:sz w:val="24"/>
          <w:szCs w:val="21"/>
          <w:lang w:val="zh-CN" w:eastAsia="zh-CN" w:bidi="ar-SA"/>
        </w:rPr>
        <w:t>付款条件：</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付款方式：监理合同签订后</w:t>
      </w:r>
      <w:r>
        <w:rPr>
          <w:rFonts w:hint="eastAsia" w:ascii="楷体" w:hAnsi="楷体" w:eastAsia="楷体" w:cs="楷体"/>
          <w:bCs/>
          <w:kern w:val="2"/>
          <w:sz w:val="24"/>
          <w:szCs w:val="21"/>
          <w:lang w:val="en-US" w:eastAsia="zh-CN" w:bidi="ar-SA"/>
        </w:rPr>
        <w:t>一个月</w:t>
      </w:r>
      <w:r>
        <w:rPr>
          <w:rFonts w:hint="eastAsia" w:ascii="楷体" w:hAnsi="楷体" w:eastAsia="楷体" w:cs="楷体"/>
          <w:bCs/>
          <w:kern w:val="2"/>
          <w:sz w:val="24"/>
          <w:szCs w:val="21"/>
          <w:lang w:val="zh-CN" w:eastAsia="zh-CN" w:bidi="ar-SA"/>
        </w:rPr>
        <w:t>日内采购人付成交供应商合同总金额的40%，</w:t>
      </w:r>
      <w:r>
        <w:rPr>
          <w:rFonts w:hint="eastAsia" w:ascii="楷体" w:hAnsi="楷体" w:eastAsia="楷体" w:cs="楷体"/>
          <w:bCs/>
          <w:kern w:val="2"/>
          <w:sz w:val="24"/>
          <w:szCs w:val="21"/>
          <w:lang w:val="en-US" w:eastAsia="zh-CN" w:bidi="ar-SA"/>
        </w:rPr>
        <w:t>项目完成初验后七个工作日内支付合同总金额的30%，</w:t>
      </w:r>
      <w:r>
        <w:rPr>
          <w:rFonts w:hint="eastAsia" w:ascii="楷体" w:hAnsi="楷体" w:eastAsia="楷体" w:cs="楷体"/>
          <w:bCs/>
          <w:kern w:val="2"/>
          <w:sz w:val="24"/>
          <w:szCs w:val="21"/>
          <w:lang w:val="zh-CN" w:eastAsia="zh-CN" w:bidi="ar-SA"/>
        </w:rPr>
        <w:t>项目终验合格后七个工作日内</w:t>
      </w:r>
      <w:r>
        <w:rPr>
          <w:rFonts w:hint="eastAsia" w:ascii="楷体" w:hAnsi="楷体" w:eastAsia="楷体" w:cs="楷体"/>
          <w:bCs/>
          <w:kern w:val="2"/>
          <w:sz w:val="24"/>
          <w:szCs w:val="21"/>
          <w:lang w:val="en-US" w:eastAsia="zh-CN" w:bidi="ar-SA"/>
        </w:rPr>
        <w:t>支付合同总金额的30%</w:t>
      </w:r>
      <w:r>
        <w:rPr>
          <w:rFonts w:hint="eastAsia" w:ascii="楷体" w:hAnsi="楷体" w:eastAsia="楷体" w:cs="楷体"/>
          <w:bCs/>
          <w:kern w:val="2"/>
          <w:sz w:val="24"/>
          <w:szCs w:val="21"/>
          <w:lang w:val="zh-CN" w:eastAsia="zh-CN" w:bidi="ar-SA"/>
        </w:rPr>
        <w:t>。</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备注：</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r>
        <w:rPr>
          <w:rFonts w:hint="eastAsia" w:ascii="楷体" w:hAnsi="楷体" w:eastAsia="楷体" w:cs="楷体"/>
          <w:bCs/>
          <w:kern w:val="2"/>
          <w:sz w:val="24"/>
          <w:szCs w:val="21"/>
          <w:lang w:val="zh-CN" w:eastAsia="zh-CN" w:bidi="ar-SA"/>
        </w:rPr>
        <w:t>1、本章有带星号（“★”）的内容及商务部分要求均为实质性要求，不允许负偏离，否则作为无效报价。采购文件中要求的产品品牌或型号，是采购人根据项目所要实现的功能及考量后推荐的品牌或型号，投标人可以采用其他品牌的产品进行投标，但是，所有功能必须能满足采购项目整体性能的实现。</w:t>
      </w:r>
    </w:p>
    <w:p>
      <w:pPr>
        <w:widowControl w:val="0"/>
        <w:autoSpaceDE w:val="0"/>
        <w:autoSpaceDN w:val="0"/>
        <w:snapToGrid w:val="0"/>
        <w:spacing w:line="360" w:lineRule="auto"/>
        <w:ind w:left="0" w:right="100" w:firstLine="480" w:firstLineChars="200"/>
        <w:rPr>
          <w:rFonts w:hint="eastAsia" w:ascii="楷体" w:hAnsi="楷体" w:eastAsia="楷体" w:cs="楷体"/>
          <w:bCs/>
          <w:kern w:val="2"/>
          <w:sz w:val="24"/>
          <w:szCs w:val="21"/>
          <w:lang w:val="zh-CN" w:eastAsia="zh-CN" w:bidi="ar-SA"/>
        </w:rPr>
      </w:pPr>
    </w:p>
    <w:p>
      <w:pPr>
        <w:snapToGrid w:val="0"/>
        <w:spacing w:line="360" w:lineRule="auto"/>
        <w:ind w:firstLine="480" w:firstLineChars="200"/>
        <w:rPr>
          <w:rFonts w:hint="eastAsia" w:ascii="楷体" w:hAnsi="楷体" w:eastAsia="楷体" w:cs="楷体"/>
          <w:bCs/>
          <w:sz w:val="24"/>
          <w:lang w:val="zh-CN"/>
        </w:rPr>
      </w:pPr>
    </w:p>
    <w:p>
      <w:pPr>
        <w:snapToGrid w:val="0"/>
        <w:spacing w:line="360" w:lineRule="auto"/>
        <w:ind w:firstLine="480" w:firstLineChars="200"/>
        <w:rPr>
          <w:rFonts w:hint="eastAsia" w:ascii="楷体" w:hAnsi="楷体" w:eastAsia="楷体" w:cs="楷体"/>
          <w:bCs/>
          <w:sz w:val="24"/>
          <w:lang w:val="zh-CN"/>
        </w:rPr>
      </w:pPr>
    </w:p>
    <w:p>
      <w:pPr>
        <w:snapToGrid w:val="0"/>
        <w:spacing w:line="360" w:lineRule="auto"/>
        <w:ind w:firstLine="480" w:firstLineChars="200"/>
        <w:rPr>
          <w:rFonts w:hint="eastAsia" w:ascii="楷体" w:hAnsi="楷体" w:eastAsia="楷体" w:cs="楷体"/>
          <w:bCs/>
          <w:sz w:val="24"/>
          <w:lang w:val="zh-CN"/>
        </w:rPr>
      </w:pPr>
    </w:p>
    <w:p>
      <w:pPr>
        <w:pStyle w:val="2"/>
        <w:ind w:left="1260"/>
        <w:rPr>
          <w:rFonts w:hint="eastAsia" w:ascii="楷体" w:hAnsi="楷体" w:eastAsia="楷体" w:cs="楷体"/>
          <w:kern w:val="0"/>
          <w:sz w:val="24"/>
        </w:rPr>
      </w:pPr>
    </w:p>
    <w:p>
      <w:pPr>
        <w:rPr>
          <w:rFonts w:hint="eastAsia"/>
        </w:rPr>
      </w:pPr>
    </w:p>
    <w:p>
      <w:pPr>
        <w:rPr>
          <w:rFonts w:hint="eastAsia" w:ascii="楷体" w:hAnsi="楷体" w:eastAsia="楷体" w:cs="楷体"/>
          <w:kern w:val="0"/>
          <w:sz w:val="24"/>
        </w:rPr>
      </w:pPr>
    </w:p>
    <w:p>
      <w:pPr>
        <w:pStyle w:val="11"/>
        <w:ind w:firstLine="240"/>
        <w:rPr>
          <w:rFonts w:hint="eastAsia" w:ascii="楷体" w:hAnsi="楷体" w:eastAsia="楷体" w:cs="楷体"/>
          <w:kern w:val="0"/>
          <w:sz w:val="24"/>
        </w:rPr>
      </w:pPr>
    </w:p>
    <w:p>
      <w:pPr>
        <w:pStyle w:val="11"/>
        <w:ind w:firstLine="240"/>
        <w:rPr>
          <w:rFonts w:hint="eastAsia" w:ascii="楷体" w:hAnsi="楷体" w:eastAsia="楷体" w:cs="楷体"/>
          <w:kern w:val="0"/>
          <w:sz w:val="24"/>
        </w:rPr>
      </w:pPr>
    </w:p>
    <w:p>
      <w:pPr>
        <w:pStyle w:val="11"/>
        <w:ind w:firstLine="240"/>
        <w:rPr>
          <w:rFonts w:hint="eastAsia" w:ascii="楷体" w:hAnsi="楷体" w:eastAsia="楷体" w:cs="楷体"/>
          <w:kern w:val="0"/>
          <w:sz w:val="24"/>
        </w:rPr>
      </w:pPr>
    </w:p>
    <w:bookmarkEnd w:id="60"/>
    <w:bookmarkEnd w:id="61"/>
    <w:p>
      <w:pPr>
        <w:pStyle w:val="3"/>
        <w:bidi w:val="0"/>
        <w:rPr>
          <w:rFonts w:hint="eastAsia"/>
        </w:rPr>
      </w:pPr>
      <w:bookmarkStart w:id="64" w:name="_Toc32611"/>
      <w:bookmarkStart w:id="65" w:name="_Toc24347"/>
      <w:bookmarkStart w:id="66" w:name="_Toc8457"/>
      <w:bookmarkStart w:id="67" w:name="_Toc273"/>
      <w:bookmarkStart w:id="68" w:name="_Toc324237157"/>
      <w:r>
        <w:rPr>
          <w:rFonts w:hint="eastAsia"/>
        </w:rPr>
        <w:t>第四章  评审方法和评审标准</w:t>
      </w:r>
      <w:bookmarkEnd w:id="64"/>
    </w:p>
    <w:p>
      <w:pPr>
        <w:pStyle w:val="4"/>
        <w:bidi w:val="0"/>
        <w:rPr>
          <w:rFonts w:hint="eastAsia" w:ascii="Arial" w:hAnsi="Arial"/>
          <w:b/>
        </w:rPr>
      </w:pPr>
      <w:bookmarkStart w:id="69" w:name="_Toc1535"/>
      <w:r>
        <w:rPr>
          <w:rFonts w:hint="eastAsia" w:ascii="Arial" w:hAnsi="Arial"/>
          <w:b/>
        </w:rPr>
        <w:t>一、评标方法与定标原则</w:t>
      </w:r>
      <w:bookmarkEnd w:id="65"/>
      <w:bookmarkEnd w:id="69"/>
    </w:p>
    <w:p>
      <w:pPr>
        <w:pStyle w:val="5"/>
        <w:spacing w:line="360" w:lineRule="auto"/>
        <w:ind w:firstLine="480" w:firstLineChars="200"/>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rPr>
        <w:t>评委会将对确定为实质性响应磋商文件要求的投标文件进行评价和比较，评标采用综合评分法，总分为100分，按评审后得分由高到低顺序排列，得分相同的，按投标报价由低到高顺序排列，得分且投标报价相同的，按技术指标优劣顺</w:t>
      </w:r>
      <w:r>
        <w:rPr>
          <w:rFonts w:hint="eastAsia" w:ascii="楷体" w:hAnsi="楷体" w:eastAsia="楷体" w:cs="楷体"/>
          <w:kern w:val="0"/>
          <w:sz w:val="24"/>
          <w:szCs w:val="21"/>
          <w:lang w:val="en-US" w:eastAsia="zh-CN" w:bidi="ar-SA"/>
        </w:rPr>
        <w:t>序排列，每个分包由评标委员会推荐1个成交候选人。具体打分办法如下：</w:t>
      </w:r>
    </w:p>
    <w:p>
      <w:pPr>
        <w:pStyle w:val="4"/>
        <w:bidi w:val="0"/>
        <w:rPr>
          <w:rFonts w:hint="eastAsia" w:ascii="Arial" w:hAnsi="Arial"/>
          <w:b/>
          <w:lang w:val="en-US" w:eastAsia="zh-CN"/>
        </w:rPr>
      </w:pPr>
      <w:bookmarkStart w:id="70" w:name="_Toc8228"/>
      <w:r>
        <w:rPr>
          <w:rFonts w:hint="eastAsia" w:ascii="Arial" w:hAnsi="Arial"/>
          <w:b/>
          <w:lang w:val="en-US" w:eastAsia="zh-CN"/>
        </w:rPr>
        <w:t>二、</w:t>
      </w:r>
      <w:r>
        <w:rPr>
          <w:rFonts w:hint="eastAsia" w:ascii="Arial" w:hAnsi="Arial"/>
          <w:b/>
        </w:rPr>
        <w:t>成交标准</w:t>
      </w:r>
      <w:bookmarkEnd w:id="70"/>
    </w:p>
    <w:tbl>
      <w:tblPr>
        <w:tblStyle w:val="12"/>
        <w:tblW w:w="83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5"/>
        <w:gridCol w:w="1124"/>
        <w:gridCol w:w="445"/>
        <w:gridCol w:w="5673"/>
        <w:gridCol w:w="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exact"/>
          <w:tblHeader/>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default" w:ascii="楷体" w:hAnsi="楷体" w:eastAsia="楷体" w:cs="楷体"/>
                <w:kern w:val="0"/>
                <w:sz w:val="22"/>
                <w:szCs w:val="20"/>
                <w:lang w:val="en-US" w:eastAsia="zh-CN" w:bidi="ar-SA"/>
              </w:rPr>
            </w:pPr>
            <w:bookmarkStart w:id="71" w:name="_Toc31574"/>
            <w:bookmarkStart w:id="72" w:name="_Toc25132"/>
            <w:bookmarkStart w:id="73" w:name="_Toc27008"/>
            <w:bookmarkStart w:id="74" w:name="_Toc26593"/>
            <w:r>
              <w:rPr>
                <w:rFonts w:hint="eastAsia" w:ascii="楷体" w:hAnsi="楷体" w:eastAsia="楷体" w:cs="楷体"/>
                <w:kern w:val="0"/>
                <w:sz w:val="22"/>
                <w:szCs w:val="20"/>
                <w:lang w:val="en-US" w:eastAsia="zh-CN" w:bidi="ar-SA"/>
              </w:rPr>
              <w:t>序号</w:t>
            </w:r>
          </w:p>
        </w:tc>
        <w:tc>
          <w:tcPr>
            <w:tcW w:w="1124"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楷体" w:hAnsi="楷体" w:eastAsia="楷体" w:cs="楷体"/>
                <w:kern w:val="0"/>
                <w:sz w:val="22"/>
                <w:szCs w:val="20"/>
                <w:lang w:val="en-US" w:eastAsia="zh-CN" w:bidi="ar-SA"/>
              </w:rPr>
            </w:pPr>
            <w:r>
              <w:rPr>
                <w:rFonts w:hint="eastAsia" w:ascii="楷体" w:hAnsi="楷体" w:eastAsia="楷体" w:cs="楷体"/>
                <w:kern w:val="0"/>
                <w:sz w:val="22"/>
                <w:szCs w:val="20"/>
                <w:lang w:val="en-US" w:eastAsia="zh-CN" w:bidi="ar-SA"/>
              </w:rPr>
              <w:t>评分</w:t>
            </w:r>
          </w:p>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楷体" w:hAnsi="楷体" w:eastAsia="楷体" w:cs="楷体"/>
                <w:kern w:val="0"/>
                <w:sz w:val="22"/>
                <w:szCs w:val="20"/>
                <w:lang w:val="en-US" w:eastAsia="zh-CN" w:bidi="ar-SA"/>
              </w:rPr>
            </w:pPr>
            <w:r>
              <w:rPr>
                <w:rFonts w:hint="eastAsia" w:ascii="楷体" w:hAnsi="楷体" w:eastAsia="楷体" w:cs="楷体"/>
                <w:kern w:val="0"/>
                <w:sz w:val="22"/>
                <w:szCs w:val="20"/>
                <w:lang w:val="en-US" w:eastAsia="zh-CN" w:bidi="ar-SA"/>
              </w:rPr>
              <w:t>因素</w:t>
            </w: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楷体" w:hAnsi="楷体" w:eastAsia="楷体" w:cs="楷体"/>
                <w:kern w:val="0"/>
                <w:sz w:val="22"/>
                <w:szCs w:val="20"/>
                <w:lang w:val="en-US" w:eastAsia="zh-CN" w:bidi="ar-SA"/>
              </w:rPr>
            </w:pPr>
            <w:r>
              <w:rPr>
                <w:rFonts w:hint="eastAsia" w:ascii="楷体" w:hAnsi="楷体" w:eastAsia="楷体" w:cs="楷体"/>
                <w:kern w:val="0"/>
                <w:sz w:val="22"/>
                <w:szCs w:val="20"/>
                <w:lang w:val="en-US" w:eastAsia="zh-CN" w:bidi="ar-SA"/>
              </w:rPr>
              <w:t>评审标准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val="0"/>
              <w:spacing w:line="200" w:lineRule="exact"/>
              <w:jc w:val="center"/>
              <w:textAlignment w:val="auto"/>
              <w:rPr>
                <w:rFonts w:hint="eastAsia" w:ascii="楷体" w:hAnsi="楷体" w:eastAsia="楷体" w:cs="楷体"/>
                <w:kern w:val="0"/>
                <w:sz w:val="22"/>
                <w:szCs w:val="20"/>
                <w:lang w:val="en-US" w:eastAsia="zh-CN" w:bidi="ar-SA"/>
              </w:rPr>
            </w:pPr>
            <w:r>
              <w:rPr>
                <w:rFonts w:hint="eastAsia" w:ascii="楷体" w:hAnsi="楷体" w:eastAsia="楷体" w:cs="楷体"/>
                <w:kern w:val="0"/>
                <w:sz w:val="22"/>
                <w:szCs w:val="20"/>
                <w:lang w:val="en-US" w:eastAsia="zh-CN" w:bidi="ar-SA"/>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1</w:t>
            </w:r>
          </w:p>
        </w:tc>
        <w:tc>
          <w:tcPr>
            <w:tcW w:w="1124"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价格</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（20分）</w:t>
            </w:r>
          </w:p>
        </w:tc>
        <w:tc>
          <w:tcPr>
            <w:tcW w:w="6118" w:type="dxa"/>
            <w:gridSpan w:val="2"/>
            <w:tcBorders>
              <w:tl2br w:val="nil"/>
              <w:tr2bl w:val="nil"/>
            </w:tcBorders>
            <w:shd w:val="clear" w:color="auto" w:fill="auto"/>
            <w:vAlign w:val="center"/>
          </w:tcPr>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采用低价优先法计算，即满足采购文件要求且投标价格最低的投标报价为评标基准价，其价格分为满分。其他供应商的价格分统一按照下列公式计算：</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投标报价得分=(评标基准价/投标报价)×20（小数点保留两位）。</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eastAsia="宋体"/>
                <w:color w:val="000000"/>
                <w:sz w:val="21"/>
                <w:szCs w:val="21"/>
                <w:lang w:val="en-US" w:eastAsia="zh-CN"/>
              </w:rPr>
            </w:pPr>
            <w:r>
              <w:rPr>
                <w:rFonts w:hint="eastAsia"/>
                <w:color w:val="000000"/>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7"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2.1</w:t>
            </w:r>
          </w:p>
        </w:tc>
        <w:tc>
          <w:tcPr>
            <w:tcW w:w="1124" w:type="dxa"/>
            <w:vMerge w:val="restart"/>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技术</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（36分）</w:t>
            </w: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监理大纲</w:t>
            </w:r>
            <w:r>
              <w:rPr>
                <w:rFonts w:hint="eastAsia" w:ascii="楷体" w:hAnsi="楷体" w:eastAsia="楷体" w:cs="楷体"/>
                <w:kern w:val="0"/>
                <w:sz w:val="24"/>
                <w:szCs w:val="21"/>
                <w:lang w:val="en-US" w:eastAsia="zh-CN" w:bidi="ar-SA"/>
              </w:rPr>
              <w:t>：</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方案内容完整、重点突出、目标明确、符合规范得8分 ；</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方案内容较为完整，基本符合规范、目标基本清晰得5分；</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方案内容基本完整，目标不够清晰、重点不够突出得2分；</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val="en-US" w:eastAsia="zh-CN"/>
              </w:rPr>
            </w:pPr>
            <w:r>
              <w:rPr>
                <w:rFonts w:hint="eastAsia"/>
                <w:color w:val="000000"/>
                <w:sz w:val="21"/>
                <w:szCs w:val="21"/>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2"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2.2</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6118" w:type="dxa"/>
            <w:gridSpan w:val="2"/>
            <w:tcBorders>
              <w:tl2br w:val="nil"/>
              <w:tr2bl w:val="nil"/>
            </w:tcBorders>
            <w:shd w:val="clear" w:color="auto" w:fill="auto"/>
            <w:vAlign w:val="center"/>
          </w:tcPr>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b/>
                <w:bCs/>
                <w:kern w:val="0"/>
                <w:sz w:val="24"/>
                <w:szCs w:val="21"/>
                <w:lang w:val="en-US" w:eastAsia="zh-CN" w:bidi="ar-SA"/>
              </w:rPr>
            </w:pPr>
            <w:r>
              <w:rPr>
                <w:rFonts w:hint="eastAsia" w:ascii="楷体" w:hAnsi="楷体" w:eastAsia="楷体" w:cs="楷体"/>
                <w:b/>
                <w:bCs/>
                <w:kern w:val="0"/>
                <w:sz w:val="24"/>
                <w:szCs w:val="21"/>
                <w:lang w:val="en-US" w:eastAsia="zh-CN" w:bidi="ar-SA"/>
              </w:rPr>
              <w:t>监理方案：</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方案科学合理、组织有序、严格按照信息化项目监理要求进行组织实施得7分；方案较为科学合理、组织流程较为有序得5分；方案欠缺合理性、组织流程基本有序得3分；</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5"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2.3</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重点难点解决方案</w:t>
            </w:r>
            <w:r>
              <w:rPr>
                <w:rFonts w:hint="eastAsia" w:ascii="楷体" w:hAnsi="楷体" w:eastAsia="楷体" w:cs="楷体"/>
                <w:kern w:val="0"/>
                <w:sz w:val="24"/>
                <w:szCs w:val="21"/>
                <w:lang w:val="en-US" w:eastAsia="zh-CN" w:bidi="ar-SA"/>
              </w:rPr>
              <w:t>:</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方案完整严谨、分析合理、解决措施得当、符合目前的各类系统的实际情况得7分；方案基本完整严谨 、分析基本合理、解决措施基本得当得3分；其他不得分。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val="en-US" w:eastAsia="zh-CN"/>
              </w:rPr>
            </w:pPr>
            <w:r>
              <w:rPr>
                <w:rFonts w:hint="eastAsia"/>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5"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2.4</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安全文明、保密监管方案</w:t>
            </w:r>
            <w:r>
              <w:rPr>
                <w:rFonts w:hint="eastAsia" w:ascii="楷体" w:hAnsi="楷体" w:eastAsia="楷体" w:cs="楷体"/>
                <w:kern w:val="0"/>
                <w:sz w:val="24"/>
                <w:szCs w:val="21"/>
                <w:lang w:val="en-US" w:eastAsia="zh-CN" w:bidi="ar-SA"/>
              </w:rPr>
              <w:t>：</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方案完善严谨、安全方案保障合理、保密监管科学有效得7分；方案较完善、安全保密保障较合理，保密监管科学较有效得3分；其他不得分。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2.5</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技术保障方案</w:t>
            </w:r>
            <w:r>
              <w:rPr>
                <w:rFonts w:hint="eastAsia" w:ascii="楷体" w:hAnsi="楷体" w:eastAsia="楷体" w:cs="楷体"/>
                <w:kern w:val="0"/>
                <w:sz w:val="24"/>
                <w:szCs w:val="21"/>
                <w:lang w:val="en-US" w:eastAsia="zh-CN" w:bidi="ar-SA"/>
              </w:rPr>
              <w:t>:</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方案科学合理、组织有序、可根据本次信息化项目特点提供可行性建议得7分；方案较科学严谨、合理化建议分析较详细得3分；其他不得分。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3</w:t>
            </w:r>
          </w:p>
        </w:tc>
        <w:tc>
          <w:tcPr>
            <w:tcW w:w="1124"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业绩</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（9分）</w:t>
            </w:r>
          </w:p>
        </w:tc>
        <w:tc>
          <w:tcPr>
            <w:tcW w:w="6118" w:type="dxa"/>
            <w:gridSpan w:val="2"/>
            <w:tcBorders>
              <w:tl2br w:val="nil"/>
              <w:tr2bl w:val="nil"/>
            </w:tcBorders>
            <w:shd w:val="clear" w:color="auto" w:fill="auto"/>
            <w:vAlign w:val="center"/>
          </w:tcPr>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2017年1月1日以来，供应商具有类似工程项目的监理案例，每个得3分,此项最多得9分。</w:t>
            </w:r>
          </w:p>
          <w:p>
            <w:pPr>
              <w:keepNext w:val="0"/>
              <w:keepLines w:val="0"/>
              <w:pageBreakBefore w:val="0"/>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（提供合同复印件加盖公章，合同须能反映项目名称，签订时间和签章清晰可见）</w:t>
            </w:r>
          </w:p>
        </w:tc>
        <w:tc>
          <w:tcPr>
            <w:tcW w:w="512" w:type="dxa"/>
            <w:tcBorders>
              <w:tl2br w:val="nil"/>
              <w:tr2bl w:val="nil"/>
            </w:tcBorders>
            <w:shd w:val="clear" w:color="auto" w:fill="auto"/>
            <w:vAlign w:val="center"/>
          </w:tcPr>
          <w:p>
            <w:pPr>
              <w:keepNext w:val="0"/>
              <w:keepLines w:val="0"/>
              <w:pageBreakBefore w:val="0"/>
              <w:kinsoku/>
              <w:wordWrap/>
              <w:overflowPunct/>
              <w:topLinePunct w:val="0"/>
              <w:bidi w:val="0"/>
              <w:adjustRightInd/>
              <w:spacing w:line="240" w:lineRule="auto"/>
              <w:jc w:val="center"/>
              <w:textAlignment w:val="auto"/>
              <w:rPr>
                <w:rFonts w:hint="eastAsia" w:eastAsia="宋体"/>
                <w:color w:val="000000"/>
                <w:sz w:val="21"/>
                <w:szCs w:val="21"/>
                <w:lang w:eastAsia="zh-CN"/>
              </w:rPr>
            </w:pPr>
            <w:r>
              <w:rPr>
                <w:rFonts w:hint="eastAsia"/>
                <w:color w:val="000000"/>
                <w:sz w:val="21"/>
                <w:szCs w:val="21"/>
                <w:lang w:val="en-US" w:eastAsia="zh-CN"/>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3"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4.1</w:t>
            </w:r>
          </w:p>
        </w:tc>
        <w:tc>
          <w:tcPr>
            <w:tcW w:w="1124" w:type="dxa"/>
            <w:vMerge w:val="restart"/>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供应商履约</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能力</w:t>
            </w:r>
          </w:p>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（32分）</w:t>
            </w:r>
          </w:p>
        </w:tc>
        <w:tc>
          <w:tcPr>
            <w:tcW w:w="44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供应商技术能力</w:t>
            </w:r>
          </w:p>
        </w:tc>
        <w:tc>
          <w:tcPr>
            <w:tcW w:w="5673" w:type="dxa"/>
            <w:tcBorders>
              <w:tl2br w:val="nil"/>
              <w:tr2bl w:val="nil"/>
            </w:tcBorders>
            <w:shd w:val="clear" w:color="auto" w:fill="auto"/>
            <w:vAlign w:val="center"/>
          </w:tcPr>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供应商具有有效期内的ISO19001质量管理体系认证，得2分；</w:t>
            </w:r>
          </w:p>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供应商具有有效期内的ISO14001环境管理体系认证，得2分；</w:t>
            </w:r>
          </w:p>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供应商具有有效期内的OHSAS18001职业健康安全管理体系认证，得2分；</w:t>
            </w:r>
          </w:p>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供应商具有有效期内的ISO27001信息安全体系认证，得2分；</w:t>
            </w:r>
          </w:p>
          <w:p>
            <w:pPr>
              <w:pStyle w:val="21"/>
              <w:keepNext w:val="0"/>
              <w:keepLines w:val="0"/>
              <w:pageBreakBefore w:val="0"/>
              <w:numPr>
                <w:ilvl w:val="0"/>
                <w:numId w:val="3"/>
              </w:numPr>
              <w:kinsoku/>
              <w:wordWrap/>
              <w:overflowPunct/>
              <w:topLinePunct w:val="0"/>
              <w:bidi w:val="0"/>
              <w:adjustRightInd/>
              <w:snapToGrid/>
              <w:spacing w:line="280" w:lineRule="exact"/>
              <w:ind w:left="425" w:leftChars="0" w:hanging="425"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供应商具有有效期内的ISO20000信息技术服务管理体系认证，得2分；</w:t>
            </w:r>
          </w:p>
          <w:p>
            <w:pPr>
              <w:pStyle w:val="21"/>
              <w:keepNext w:val="0"/>
              <w:keepLines w:val="0"/>
              <w:pageBreakBefore w:val="0"/>
              <w:kinsoku/>
              <w:wordWrap/>
              <w:overflowPunct/>
              <w:topLinePunct w:val="0"/>
              <w:bidi w:val="0"/>
              <w:adjustRightInd/>
              <w:snapToGrid/>
              <w:spacing w:line="280" w:lineRule="exact"/>
              <w:ind w:firstLine="0" w:firstLineChars="0"/>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（以上证书认证范围须包括信息系统工程监理服务、信息系统工程咨询服务、信息系统工程测试服务，提供上述证书复印件加盖公章，未提供不得分）。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eastAsia="宋体"/>
                <w:color w:val="000000"/>
                <w:sz w:val="21"/>
                <w:szCs w:val="21"/>
                <w:lang w:val="en-US" w:eastAsia="zh-CN"/>
              </w:rPr>
            </w:pPr>
            <w:r>
              <w:rPr>
                <w:rFonts w:hint="eastAsia"/>
                <w:color w:val="000000"/>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2"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4.2</w:t>
            </w:r>
          </w:p>
        </w:tc>
        <w:tc>
          <w:tcPr>
            <w:tcW w:w="1124" w:type="dxa"/>
            <w:vMerge w:val="continue"/>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p>
        </w:tc>
        <w:tc>
          <w:tcPr>
            <w:tcW w:w="445" w:type="dxa"/>
            <w:tcBorders>
              <w:tl2br w:val="nil"/>
              <w:tr2bl w:val="nil"/>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项目团队人员要求</w:t>
            </w:r>
          </w:p>
        </w:tc>
        <w:tc>
          <w:tcPr>
            <w:tcW w:w="5673"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b/>
                <w:bCs/>
                <w:kern w:val="0"/>
                <w:sz w:val="24"/>
                <w:szCs w:val="21"/>
                <w:lang w:val="en-US" w:eastAsia="zh-CN" w:bidi="ar-SA"/>
              </w:rPr>
              <w:t>承诺投标文件中参与项目的总监理工程师和监理人员不得更换并且驻场</w:t>
            </w:r>
            <w:r>
              <w:rPr>
                <w:rFonts w:hint="eastAsia" w:ascii="楷体" w:hAnsi="楷体" w:eastAsia="楷体" w:cs="楷体"/>
                <w:kern w:val="0"/>
                <w:sz w:val="24"/>
                <w:szCs w:val="21"/>
                <w:lang w:val="en-US" w:eastAsia="zh-CN" w:bidi="ar-SA"/>
              </w:rPr>
              <w:t>。</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1）总监理工程师要求（12分）：</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在具有计算机技术与软件专业技术资格考试取得的信息系统监理师证书和高级信息系统项目管理师证书基础上同时具有网络工程师证书得2分，具有信息安全师证书得2分，具有项目数据分析师证书得2分，具有数据库应用系统工程师证书得2分，具有网络设备调试员证书得2分,具有通信工程师高级证书得2分。</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2）监理人员专业配套及资质（10分）：</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供应商服务本项目人员在具有计算机技术与软件专业技术资格考试取得的信息系统监理师证书的人员基础上具有：</w:t>
            </w:r>
          </w:p>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通信工程师高级证书/软件测试工程师证书/机房规划设计工程师证书/系统规划和管理师证书/网络安全与数据恢复证书，有一个得2分，最高10分。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eastAsia="宋体"/>
                <w:color w:val="000000"/>
                <w:sz w:val="21"/>
                <w:szCs w:val="21"/>
                <w:lang w:eastAsia="zh-CN"/>
              </w:rPr>
            </w:pPr>
            <w:r>
              <w:rPr>
                <w:color w:val="000000"/>
                <w:sz w:val="21"/>
                <w:szCs w:val="21"/>
              </w:rPr>
              <w:t>2</w:t>
            </w:r>
            <w:r>
              <w:rPr>
                <w:rFonts w:hint="eastAsia"/>
                <w:color w:val="000000"/>
                <w:sz w:val="21"/>
                <w:szCs w:val="21"/>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7" w:hRule="atLeast"/>
          <w:jc w:val="center"/>
        </w:trPr>
        <w:tc>
          <w:tcPr>
            <w:tcW w:w="645"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default"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5</w:t>
            </w:r>
          </w:p>
        </w:tc>
        <w:tc>
          <w:tcPr>
            <w:tcW w:w="1124"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响应文件制作（3分）</w:t>
            </w:r>
          </w:p>
        </w:tc>
        <w:tc>
          <w:tcPr>
            <w:tcW w:w="6118" w:type="dxa"/>
            <w:gridSpan w:val="2"/>
            <w:tcBorders>
              <w:tl2br w:val="nil"/>
              <w:tr2bl w:val="nil"/>
            </w:tcBorders>
            <w:shd w:val="clear" w:color="auto" w:fill="auto"/>
            <w:vAlign w:val="center"/>
          </w:tcPr>
          <w:p>
            <w:pPr>
              <w:keepNext w:val="0"/>
              <w:keepLines w:val="0"/>
              <w:pageBreakBefore w:val="0"/>
              <w:widowControl/>
              <w:kinsoku/>
              <w:wordWrap/>
              <w:overflowPunct/>
              <w:topLinePunct w:val="0"/>
              <w:bidi w:val="0"/>
              <w:adjustRightInd/>
              <w:snapToGrid/>
              <w:spacing w:line="280" w:lineRule="exact"/>
              <w:jc w:val="left"/>
              <w:textAlignment w:val="auto"/>
              <w:rPr>
                <w:rFonts w:hint="eastAsia" w:ascii="楷体" w:hAnsi="楷体" w:eastAsia="楷体" w:cs="楷体"/>
                <w:kern w:val="0"/>
                <w:sz w:val="24"/>
                <w:szCs w:val="21"/>
                <w:lang w:val="en-US" w:eastAsia="zh-CN" w:bidi="ar-SA"/>
              </w:rPr>
            </w:pPr>
            <w:r>
              <w:rPr>
                <w:rFonts w:hint="eastAsia" w:ascii="楷体" w:hAnsi="楷体" w:eastAsia="楷体" w:cs="楷体"/>
                <w:kern w:val="0"/>
                <w:sz w:val="24"/>
                <w:szCs w:val="21"/>
                <w:lang w:val="en-US" w:eastAsia="zh-CN" w:bidi="ar-SA"/>
              </w:rPr>
              <w:t>根据供应商响应文件编制情况进行评分，文件编制条理清晰，页码完整，整洁美观得3分；文件编制条理一般，页码部分缺漏，基本整洁美观得1分；文件编制条理混乱，无页码，目录标注不一致、不清晰得0分。</w:t>
            </w:r>
          </w:p>
        </w:tc>
        <w:tc>
          <w:tcPr>
            <w:tcW w:w="512" w:type="dxa"/>
            <w:tcBorders>
              <w:tl2br w:val="nil"/>
              <w:tr2bl w:val="nil"/>
            </w:tcBorders>
            <w:shd w:val="clear" w:color="auto" w:fill="auto"/>
            <w:vAlign w:val="center"/>
          </w:tcPr>
          <w:p>
            <w:pPr>
              <w:keepNext w:val="0"/>
              <w:keepLines w:val="0"/>
              <w:pageBreakBefore w:val="0"/>
              <w:widowControl/>
              <w:kinsoku/>
              <w:wordWrap/>
              <w:overflowPunct/>
              <w:topLinePunct w:val="0"/>
              <w:bidi w:val="0"/>
              <w:adjustRightInd/>
              <w:spacing w:line="240" w:lineRule="auto"/>
              <w:jc w:val="center"/>
              <w:textAlignment w:val="auto"/>
              <w:rPr>
                <w:sz w:val="21"/>
                <w:szCs w:val="21"/>
              </w:rPr>
            </w:pPr>
            <w:r>
              <w:rPr>
                <w:sz w:val="21"/>
                <w:szCs w:val="21"/>
              </w:rPr>
              <w:t>3</w:t>
            </w:r>
          </w:p>
        </w:tc>
      </w:tr>
      <w:bookmarkEnd w:id="71"/>
      <w:bookmarkEnd w:id="72"/>
      <w:bookmarkEnd w:id="73"/>
      <w:bookmarkEnd w:id="74"/>
    </w:tbl>
    <w:p>
      <w:pPr>
        <w:snapToGrid w:val="0"/>
        <w:jc w:val="left"/>
        <w:rPr>
          <w:rFonts w:hint="eastAsia" w:ascii="楷体" w:hAnsi="楷体" w:eastAsia="楷体" w:cs="楷体"/>
          <w:bCs/>
          <w:sz w:val="24"/>
        </w:rPr>
      </w:pPr>
    </w:p>
    <w:p>
      <w:pPr>
        <w:pStyle w:val="3"/>
        <w:bidi w:val="0"/>
      </w:pPr>
      <w:bookmarkStart w:id="75" w:name="_Toc29622"/>
      <w:r>
        <w:rPr>
          <w:rFonts w:hint="eastAsia"/>
        </w:rPr>
        <w:t>第五章  磋商响应文件格式</w:t>
      </w:r>
      <w:bookmarkEnd w:id="75"/>
    </w:p>
    <w:bookmarkEnd w:id="54"/>
    <w:bookmarkEnd w:id="55"/>
    <w:bookmarkEnd w:id="56"/>
    <w:bookmarkEnd w:id="66"/>
    <w:bookmarkEnd w:id="67"/>
    <w:bookmarkEnd w:id="68"/>
    <w:p>
      <w:pPr>
        <w:jc w:val="center"/>
        <w:rPr>
          <w:rFonts w:ascii="楷体" w:hAnsi="楷体" w:eastAsia="楷体" w:cs="楷体"/>
          <w:b/>
          <w:bCs/>
          <w:sz w:val="96"/>
          <w:szCs w:val="96"/>
        </w:rPr>
      </w:pPr>
      <w:bookmarkStart w:id="76" w:name="_Toc49090576"/>
      <w:bookmarkStart w:id="77" w:name="_Toc26554094"/>
      <w:bookmarkStart w:id="78" w:name="_Toc120614282"/>
      <w:r>
        <w:rPr>
          <w:rFonts w:hint="eastAsia" w:ascii="楷体" w:hAnsi="楷体" w:eastAsia="楷体" w:cs="楷体"/>
          <w:b/>
          <w:bCs/>
          <w:sz w:val="72"/>
          <w:szCs w:val="72"/>
        </w:rPr>
        <w:t>竞争性磋商响应文件</w:t>
      </w:r>
    </w:p>
    <w:p>
      <w:pPr>
        <w:jc w:val="center"/>
        <w:rPr>
          <w:rFonts w:ascii="楷体" w:hAnsi="楷体" w:eastAsia="楷体" w:cs="楷体"/>
          <w:b/>
          <w:bCs/>
          <w:sz w:val="52"/>
          <w:szCs w:val="52"/>
        </w:rPr>
      </w:pPr>
      <w:r>
        <w:rPr>
          <w:rFonts w:hint="eastAsia" w:ascii="楷体" w:hAnsi="楷体" w:eastAsia="楷体" w:cs="楷体"/>
          <w:b/>
          <w:bCs/>
          <w:sz w:val="52"/>
          <w:szCs w:val="52"/>
        </w:rPr>
        <w:t>（正副本）</w:t>
      </w:r>
    </w:p>
    <w:p>
      <w:pPr>
        <w:ind w:firstLine="1446"/>
        <w:rPr>
          <w:rFonts w:ascii="楷体" w:hAnsi="楷体" w:eastAsia="楷体" w:cs="楷体"/>
          <w:b/>
          <w:bCs/>
          <w:sz w:val="72"/>
          <w:szCs w:val="72"/>
        </w:rPr>
      </w:pPr>
    </w:p>
    <w:p>
      <w:pPr>
        <w:ind w:firstLine="723"/>
        <w:jc w:val="center"/>
        <w:rPr>
          <w:rFonts w:ascii="楷体" w:hAnsi="楷体" w:eastAsia="楷体" w:cs="楷体"/>
          <w:b/>
          <w:bCs/>
          <w:sz w:val="36"/>
          <w:szCs w:val="36"/>
        </w:rPr>
      </w:pPr>
    </w:p>
    <w:p>
      <w:pPr>
        <w:rPr>
          <w:rFonts w:ascii="楷体" w:hAnsi="楷体" w:eastAsia="楷体" w:cs="楷体"/>
          <w:b/>
          <w:bCs/>
          <w:sz w:val="28"/>
          <w:szCs w:val="32"/>
        </w:rPr>
      </w:pPr>
    </w:p>
    <w:p>
      <w:pPr>
        <w:spacing w:after="156" w:afterLines="50" w:line="640" w:lineRule="exact"/>
        <w:ind w:left="838" w:leftChars="399" w:firstLine="0" w:firstLineChars="0"/>
        <w:jc w:val="both"/>
        <w:rPr>
          <w:rFonts w:hint="eastAsia" w:ascii="楷体" w:hAnsi="楷体" w:eastAsia="楷体" w:cs="楷体"/>
          <w:b/>
          <w:bCs/>
          <w:sz w:val="32"/>
          <w:szCs w:val="36"/>
          <w:lang w:eastAsia="zh-CN"/>
        </w:rPr>
      </w:pPr>
      <w:r>
        <w:rPr>
          <w:rFonts w:hint="eastAsia" w:ascii="楷体" w:hAnsi="楷体" w:eastAsia="楷体" w:cs="楷体"/>
          <w:b/>
          <w:bCs/>
          <w:sz w:val="32"/>
          <w:szCs w:val="36"/>
        </w:rPr>
        <w:t>项目名称：南京交通职业技术学院</w:t>
      </w:r>
      <w:r>
        <w:rPr>
          <w:rFonts w:hint="eastAsia" w:ascii="楷体" w:hAnsi="楷体" w:eastAsia="楷体" w:cs="楷体"/>
          <w:b/>
          <w:bCs/>
          <w:sz w:val="32"/>
          <w:szCs w:val="36"/>
          <w:lang w:eastAsia="zh-CN"/>
        </w:rPr>
        <w:t>学校网络</w:t>
      </w:r>
    </w:p>
    <w:p>
      <w:pPr>
        <w:spacing w:after="156" w:afterLines="50" w:line="640" w:lineRule="exact"/>
        <w:ind w:left="838" w:leftChars="399" w:firstLine="1606" w:firstLineChars="500"/>
        <w:jc w:val="both"/>
        <w:rPr>
          <w:rFonts w:hint="eastAsia" w:ascii="楷体" w:hAnsi="楷体" w:eastAsia="楷体" w:cs="楷体"/>
          <w:b/>
          <w:bCs/>
          <w:sz w:val="32"/>
          <w:szCs w:val="36"/>
        </w:rPr>
      </w:pPr>
      <w:r>
        <w:rPr>
          <w:rFonts w:hint="eastAsia" w:ascii="楷体" w:hAnsi="楷体" w:eastAsia="楷体" w:cs="楷体"/>
          <w:b/>
          <w:bCs/>
          <w:sz w:val="32"/>
          <w:szCs w:val="36"/>
          <w:lang w:eastAsia="zh-CN"/>
        </w:rPr>
        <w:t>建设监理</w:t>
      </w:r>
      <w:r>
        <w:rPr>
          <w:rFonts w:hint="eastAsia" w:ascii="楷体" w:hAnsi="楷体" w:eastAsia="楷体" w:cs="楷体"/>
          <w:b/>
          <w:bCs/>
          <w:sz w:val="32"/>
          <w:szCs w:val="36"/>
        </w:rPr>
        <w:t>项目</w:t>
      </w:r>
    </w:p>
    <w:p>
      <w:pPr>
        <w:ind w:left="2434" w:leftChars="1159" w:firstLine="321" w:firstLineChars="100"/>
        <w:rPr>
          <w:rFonts w:ascii="楷体" w:hAnsi="楷体" w:eastAsia="楷体" w:cs="楷体"/>
          <w:b/>
          <w:bCs/>
          <w:sz w:val="32"/>
          <w:szCs w:val="36"/>
        </w:rPr>
      </w:pPr>
    </w:p>
    <w:p>
      <w:pPr>
        <w:ind w:left="2444" w:leftChars="399" w:hanging="1606" w:hangingChars="500"/>
        <w:rPr>
          <w:rFonts w:hint="eastAsia" w:ascii="楷体" w:hAnsi="楷体" w:eastAsia="楷体" w:cs="楷体"/>
          <w:b/>
          <w:bCs/>
          <w:color w:val="FF0000"/>
          <w:sz w:val="32"/>
          <w:szCs w:val="36"/>
          <w:lang w:val="en-US" w:eastAsia="zh-CN"/>
        </w:rPr>
      </w:pPr>
      <w:r>
        <w:rPr>
          <w:rFonts w:hint="eastAsia" w:ascii="楷体" w:hAnsi="楷体" w:eastAsia="楷体" w:cs="楷体"/>
          <w:b/>
          <w:bCs/>
          <w:sz w:val="32"/>
          <w:szCs w:val="36"/>
        </w:rPr>
        <w:t>项目编号：</w:t>
      </w:r>
      <w:r>
        <w:rPr>
          <w:rFonts w:hint="eastAsia" w:ascii="楷体" w:hAnsi="楷体" w:eastAsia="楷体" w:cs="楷体"/>
          <w:b/>
          <w:bCs/>
          <w:sz w:val="32"/>
          <w:szCs w:val="36"/>
          <w:lang w:eastAsia="zh-CN"/>
        </w:rPr>
        <w:t>JY2020072</w:t>
      </w:r>
    </w:p>
    <w:p>
      <w:pPr>
        <w:rPr>
          <w:rFonts w:ascii="楷体" w:hAnsi="楷体" w:eastAsia="楷体" w:cs="楷体"/>
          <w:b/>
          <w:bCs/>
          <w:sz w:val="32"/>
          <w:szCs w:val="36"/>
        </w:rPr>
      </w:pPr>
    </w:p>
    <w:p>
      <w:pPr>
        <w:pStyle w:val="11"/>
      </w:pP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供应商名称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授权代表   ：</w:t>
      </w:r>
      <w:r>
        <w:rPr>
          <w:rFonts w:hint="eastAsia" w:ascii="楷体" w:hAnsi="楷体" w:eastAsia="楷体" w:cs="楷体"/>
          <w:b/>
          <w:bCs/>
          <w:sz w:val="36"/>
          <w:szCs w:val="36"/>
          <w:u w:val="single"/>
        </w:rPr>
        <w:t xml:space="preserve">               </w:t>
      </w:r>
    </w:p>
    <w:p>
      <w:pPr>
        <w:ind w:firstLine="723"/>
        <w:rPr>
          <w:rFonts w:ascii="楷体" w:hAnsi="楷体" w:eastAsia="楷体" w:cs="楷体"/>
          <w:b/>
          <w:bCs/>
          <w:sz w:val="36"/>
          <w:szCs w:val="36"/>
          <w:u w:val="single"/>
        </w:rPr>
      </w:pPr>
      <w:r>
        <w:rPr>
          <w:rFonts w:hint="eastAsia" w:ascii="楷体" w:hAnsi="楷体" w:eastAsia="楷体" w:cs="楷体"/>
          <w:b/>
          <w:bCs/>
          <w:sz w:val="36"/>
          <w:szCs w:val="36"/>
        </w:rPr>
        <w:t xml:space="preserve">       日      期 ：</w:t>
      </w:r>
      <w:r>
        <w:rPr>
          <w:rFonts w:hint="eastAsia" w:ascii="楷体" w:hAnsi="楷体" w:eastAsia="楷体" w:cs="楷体"/>
          <w:b/>
          <w:bCs/>
          <w:sz w:val="36"/>
          <w:szCs w:val="36"/>
          <w:u w:val="single"/>
        </w:rPr>
        <w:t xml:space="preserve">               </w:t>
      </w:r>
    </w:p>
    <w:p>
      <w:pPr>
        <w:jc w:val="center"/>
        <w:rPr>
          <w:rFonts w:hint="eastAsia" w:ascii="楷体" w:hAnsi="楷体" w:eastAsia="楷体" w:cs="楷体"/>
          <w:b/>
          <w:bCs/>
          <w:sz w:val="28"/>
          <w:szCs w:val="28"/>
        </w:rPr>
      </w:pPr>
      <w:r>
        <w:rPr>
          <w:rFonts w:hint="eastAsia" w:ascii="楷体" w:hAnsi="楷体" w:eastAsia="楷体" w:cs="楷体"/>
          <w:b/>
          <w:bCs/>
          <w:sz w:val="36"/>
          <w:szCs w:val="36"/>
          <w:u w:val="single"/>
        </w:rPr>
        <w:br w:type="page"/>
      </w:r>
      <w:r>
        <w:rPr>
          <w:rFonts w:hint="eastAsia" w:ascii="楷体" w:hAnsi="楷体" w:eastAsia="楷体" w:cs="楷体"/>
          <w:b/>
          <w:bCs/>
          <w:sz w:val="28"/>
          <w:szCs w:val="28"/>
        </w:rPr>
        <w:t>资格性和符合性检查响应对照表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6"/>
        <w:gridCol w:w="5447"/>
        <w:gridCol w:w="1573"/>
        <w:gridCol w:w="15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6"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序号</w:t>
            </w:r>
          </w:p>
        </w:tc>
        <w:tc>
          <w:tcPr>
            <w:tcW w:w="5447"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资格和符合性检查响应内容</w:t>
            </w:r>
          </w:p>
        </w:tc>
        <w:tc>
          <w:tcPr>
            <w:tcW w:w="1573"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是否响应</w:t>
            </w:r>
          </w:p>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（填是或者否）</w:t>
            </w:r>
          </w:p>
        </w:tc>
        <w:tc>
          <w:tcPr>
            <w:tcW w:w="1590" w:type="dxa"/>
            <w:noWrap w:val="0"/>
            <w:vAlign w:val="center"/>
          </w:tcPr>
          <w:p>
            <w:pPr>
              <w:snapToGrid w:val="0"/>
              <w:spacing w:line="240" w:lineRule="atLeast"/>
              <w:jc w:val="center"/>
              <w:rPr>
                <w:rFonts w:ascii="楷体" w:hAnsi="楷体" w:eastAsia="楷体" w:cs="楷体"/>
                <w:sz w:val="24"/>
                <w:szCs w:val="24"/>
              </w:rPr>
            </w:pPr>
            <w:r>
              <w:rPr>
                <w:rFonts w:hint="eastAsia" w:ascii="楷体" w:hAnsi="楷体" w:eastAsia="楷体" w:cs="楷体"/>
                <w:sz w:val="24"/>
                <w:szCs w:val="24"/>
              </w:rPr>
              <w:t>响应文件中的页码位置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磋商供应商法人或者其他组织的营业执照等证明文件，自然人的身份证明；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2</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磋商供应商具有良好的商业信誉和健全的财务会计制度，提供2019年度的财务状况报告（成立不满一年不需提供）；</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3</w:t>
            </w:r>
          </w:p>
        </w:tc>
        <w:tc>
          <w:tcPr>
            <w:tcW w:w="5447" w:type="dxa"/>
            <w:noWrap w:val="0"/>
            <w:vAlign w:val="center"/>
          </w:tcPr>
          <w:p>
            <w:pPr>
              <w:snapToGrid w:val="0"/>
              <w:ind w:firstLine="482" w:firstLineChars="200"/>
              <w:rPr>
                <w:rFonts w:ascii="楷体" w:hAnsi="楷体" w:eastAsia="楷体" w:cs="楷体"/>
                <w:b/>
                <w:i/>
                <w:sz w:val="24"/>
                <w:szCs w:val="24"/>
                <w:u w:val="single"/>
              </w:rPr>
            </w:pPr>
            <w:r>
              <w:rPr>
                <w:rFonts w:hint="eastAsia" w:ascii="楷体" w:hAnsi="楷体" w:eastAsia="楷体" w:cs="楷体"/>
                <w:b/>
                <w:i/>
                <w:sz w:val="24"/>
                <w:szCs w:val="24"/>
                <w:u w:val="single"/>
              </w:rPr>
              <w:t>磋商供应商有依法缴纳税收和社会保障资金的良好记录，提供参加本次政府采购活动近六个月（至少一个月）依法缴纳税收和社会保障资金的相关材料（根据国家相关政策免缴或迟缴的需提供相关证明材料）；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4</w:t>
            </w:r>
          </w:p>
        </w:tc>
        <w:tc>
          <w:tcPr>
            <w:tcW w:w="5447" w:type="dxa"/>
            <w:noWrap w:val="0"/>
            <w:vAlign w:val="center"/>
          </w:tcPr>
          <w:p>
            <w:pPr>
              <w:snapToGrid w:val="0"/>
              <w:spacing w:before="50" w:after="159" w:afterLines="50"/>
              <w:ind w:firstLine="482" w:firstLineChars="200"/>
              <w:jc w:val="left"/>
              <w:rPr>
                <w:rFonts w:ascii="楷体" w:hAnsi="楷体" w:eastAsia="楷体" w:cs="楷体"/>
                <w:b/>
                <w:bCs/>
                <w:i/>
                <w:sz w:val="24"/>
                <w:szCs w:val="24"/>
                <w:u w:val="single"/>
              </w:rPr>
            </w:pPr>
            <w:r>
              <w:rPr>
                <w:rFonts w:hint="eastAsia" w:ascii="楷体" w:hAnsi="楷体" w:eastAsia="楷体" w:cs="楷体"/>
                <w:b/>
                <w:i/>
                <w:sz w:val="24"/>
                <w:szCs w:val="24"/>
                <w:u w:val="single"/>
              </w:rPr>
              <w:t>磋商供应商具有履行合同所必需的设备和专业技术能力（根据项目需求提供履行合同所必需的设备和专业技术能力的声明或证明材料）；</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5</w:t>
            </w:r>
          </w:p>
        </w:tc>
        <w:tc>
          <w:tcPr>
            <w:tcW w:w="5447" w:type="dxa"/>
            <w:noWrap w:val="0"/>
            <w:vAlign w:val="center"/>
          </w:tcPr>
          <w:p>
            <w:pPr>
              <w:snapToGrid w:val="0"/>
              <w:ind w:firstLine="482" w:firstLineChars="200"/>
              <w:rPr>
                <w:rFonts w:ascii="楷体" w:hAnsi="楷体" w:eastAsia="楷体" w:cs="楷体"/>
                <w:b/>
                <w:bCs/>
                <w:i/>
                <w:sz w:val="24"/>
                <w:szCs w:val="24"/>
                <w:u w:val="single"/>
              </w:rPr>
            </w:pPr>
            <w:r>
              <w:rPr>
                <w:rFonts w:hint="eastAsia" w:ascii="楷体" w:hAnsi="楷体" w:eastAsia="楷体" w:cs="楷体"/>
                <w:b/>
                <w:i/>
                <w:sz w:val="24"/>
                <w:szCs w:val="24"/>
                <w:u w:val="single"/>
              </w:rPr>
              <w:t>磋商供应商参加政府采购活动前3年内在经营活动中没有重大违法记录的书面声明；</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1"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6</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供应商未被“信用中国”网站（www.creditchina.gov.cn）、“中国政府采购网"(www.ccgp.gov.cn)列入失信被执行人、重大税收违法案件当事人名单、政府采购严重违法失信行为记录名单。</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7</w:t>
            </w:r>
          </w:p>
        </w:tc>
        <w:tc>
          <w:tcPr>
            <w:tcW w:w="5447" w:type="dxa"/>
            <w:noWrap w:val="0"/>
            <w:vAlign w:val="center"/>
          </w:tcPr>
          <w:p>
            <w:pPr>
              <w:snapToGrid w:val="0"/>
              <w:spacing w:before="50" w:after="159" w:afterLines="5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磋商函</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8</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报价表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9</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响应表商务表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646" w:type="dxa"/>
            <w:noWrap w:val="0"/>
            <w:vAlign w:val="center"/>
          </w:tcPr>
          <w:p>
            <w:pPr>
              <w:jc w:val="center"/>
              <w:rPr>
                <w:rFonts w:ascii="楷体" w:hAnsi="楷体" w:eastAsia="楷体" w:cs="楷体"/>
                <w:sz w:val="24"/>
                <w:szCs w:val="24"/>
              </w:rPr>
            </w:pPr>
            <w:r>
              <w:rPr>
                <w:rFonts w:hint="eastAsia" w:ascii="楷体" w:hAnsi="楷体" w:eastAsia="楷体" w:cs="楷体"/>
                <w:sz w:val="24"/>
                <w:szCs w:val="24"/>
              </w:rPr>
              <w:t>10</w:t>
            </w:r>
          </w:p>
        </w:tc>
        <w:tc>
          <w:tcPr>
            <w:tcW w:w="5447" w:type="dxa"/>
            <w:noWrap w:val="0"/>
            <w:vAlign w:val="center"/>
          </w:tcPr>
          <w:p>
            <w:pPr>
              <w:snapToGrid w:val="0"/>
              <w:spacing w:before="50" w:after="159" w:afterLines="5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服务方案</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r>
              <w:rPr>
                <w:rFonts w:hint="eastAsia" w:ascii="楷体" w:hAnsi="楷体" w:eastAsia="楷体" w:cs="楷体"/>
                <w:sz w:val="24"/>
                <w:szCs w:val="24"/>
              </w:rPr>
              <w:t>11</w:t>
            </w:r>
          </w:p>
        </w:tc>
        <w:tc>
          <w:tcPr>
            <w:tcW w:w="5447" w:type="dxa"/>
            <w:noWrap w:val="0"/>
            <w:vAlign w:val="center"/>
          </w:tcPr>
          <w:p>
            <w:pPr>
              <w:snapToGrid w:val="0"/>
              <w:ind w:firstLine="482" w:firstLineChars="200"/>
              <w:jc w:val="left"/>
              <w:rPr>
                <w:rFonts w:ascii="楷体" w:hAnsi="楷体" w:eastAsia="楷体" w:cs="楷体"/>
                <w:b/>
                <w:i/>
                <w:sz w:val="24"/>
                <w:szCs w:val="24"/>
                <w:u w:val="single"/>
              </w:rPr>
            </w:pPr>
            <w:r>
              <w:rPr>
                <w:rFonts w:hint="eastAsia" w:ascii="楷体" w:hAnsi="楷体" w:eastAsia="楷体" w:cs="楷体"/>
                <w:b/>
                <w:i/>
                <w:sz w:val="24"/>
                <w:szCs w:val="24"/>
                <w:u w:val="single"/>
              </w:rPr>
              <w:t>企业资质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2" w:firstLineChars="200"/>
              <w:jc w:val="left"/>
              <w:rPr>
                <w:rFonts w:hint="eastAsia" w:ascii="楷体" w:hAnsi="楷体" w:eastAsia="楷体" w:cs="楷体"/>
                <w:b/>
                <w:i/>
                <w:sz w:val="24"/>
                <w:szCs w:val="24"/>
                <w:u w:val="single"/>
              </w:rPr>
            </w:pPr>
            <w:r>
              <w:rPr>
                <w:rFonts w:hint="eastAsia" w:ascii="楷体" w:hAnsi="楷体" w:eastAsia="楷体" w:cs="楷体"/>
                <w:b/>
                <w:i/>
                <w:sz w:val="24"/>
                <w:szCs w:val="24"/>
                <w:u w:val="single"/>
              </w:rPr>
              <w:t>相关附表</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jc w:val="center"/>
        </w:trPr>
        <w:tc>
          <w:tcPr>
            <w:tcW w:w="646" w:type="dxa"/>
            <w:noWrap w:val="0"/>
            <w:vAlign w:val="center"/>
          </w:tcPr>
          <w:p>
            <w:pPr>
              <w:jc w:val="center"/>
              <w:rPr>
                <w:rFonts w:hint="eastAsia" w:ascii="楷体" w:hAnsi="楷体" w:eastAsia="楷体" w:cs="楷体"/>
                <w:sz w:val="24"/>
                <w:szCs w:val="24"/>
              </w:rPr>
            </w:pPr>
          </w:p>
        </w:tc>
        <w:tc>
          <w:tcPr>
            <w:tcW w:w="5447" w:type="dxa"/>
            <w:noWrap w:val="0"/>
            <w:vAlign w:val="center"/>
          </w:tcPr>
          <w:p>
            <w:pPr>
              <w:snapToGrid w:val="0"/>
              <w:ind w:firstLine="480" w:firstLineChars="200"/>
              <w:jc w:val="left"/>
              <w:rPr>
                <w:rFonts w:hint="eastAsia" w:ascii="楷体" w:hAnsi="楷体" w:eastAsia="楷体" w:cs="楷体"/>
                <w:b/>
                <w:i/>
                <w:sz w:val="24"/>
                <w:szCs w:val="24"/>
                <w:u w:val="single"/>
              </w:rPr>
            </w:pPr>
            <w:r>
              <w:rPr>
                <w:rFonts w:hint="eastAsia" w:ascii="楷体" w:hAnsi="楷体" w:eastAsia="楷体" w:cs="楷体"/>
                <w:sz w:val="24"/>
                <w:szCs w:val="24"/>
              </w:rPr>
              <w:t>……………</w:t>
            </w:r>
          </w:p>
        </w:tc>
        <w:tc>
          <w:tcPr>
            <w:tcW w:w="1573" w:type="dxa"/>
            <w:noWrap w:val="0"/>
            <w:vAlign w:val="center"/>
          </w:tcPr>
          <w:p>
            <w:pPr>
              <w:rPr>
                <w:rFonts w:ascii="楷体" w:hAnsi="楷体" w:eastAsia="楷体" w:cs="楷体"/>
                <w:sz w:val="24"/>
                <w:szCs w:val="24"/>
              </w:rPr>
            </w:pPr>
          </w:p>
        </w:tc>
        <w:tc>
          <w:tcPr>
            <w:tcW w:w="1590" w:type="dxa"/>
            <w:noWrap w:val="0"/>
            <w:vAlign w:val="center"/>
          </w:tcPr>
          <w:p>
            <w:pPr>
              <w:rPr>
                <w:rFonts w:ascii="楷体" w:hAnsi="楷体" w:eastAsia="楷体" w:cs="楷体"/>
                <w:sz w:val="24"/>
                <w:szCs w:val="24"/>
              </w:rPr>
            </w:pPr>
          </w:p>
        </w:tc>
      </w:tr>
    </w:tbl>
    <w:p>
      <w:pPr>
        <w:rPr>
          <w:rFonts w:hint="eastAsia" w:ascii="楷体" w:hAnsi="楷体" w:eastAsia="楷体" w:cs="楷体"/>
          <w:b/>
          <w:bCs/>
          <w:sz w:val="24"/>
          <w:szCs w:val="24"/>
        </w:rPr>
      </w:pPr>
    </w:p>
    <w:p>
      <w:pPr>
        <w:jc w:val="left"/>
        <w:rPr>
          <w:rFonts w:hint="eastAsia" w:ascii="楷体" w:hAnsi="楷体" w:eastAsia="楷体" w:cs="楷体"/>
          <w:b/>
          <w:bCs/>
          <w:sz w:val="24"/>
          <w:szCs w:val="24"/>
        </w:rPr>
      </w:pPr>
      <w:r>
        <w:rPr>
          <w:rFonts w:hint="eastAsia" w:ascii="楷体" w:hAnsi="楷体" w:eastAsia="楷体" w:cs="楷体"/>
          <w:b/>
          <w:bCs/>
          <w:sz w:val="24"/>
          <w:szCs w:val="24"/>
        </w:rPr>
        <w:t>说明：上述所列资格证明文件为必须提供内容，未提供或未提供有效材料的,将不能通过符合性审查。</w:t>
      </w:r>
    </w:p>
    <w:p>
      <w:pPr>
        <w:jc w:val="center"/>
        <w:rPr>
          <w:rFonts w:ascii="楷体" w:hAnsi="楷体" w:eastAsia="楷体" w:cs="楷体"/>
          <w:b/>
          <w:bCs/>
          <w:sz w:val="28"/>
          <w:szCs w:val="28"/>
        </w:rPr>
      </w:pPr>
      <w:r>
        <w:rPr>
          <w:rFonts w:hint="eastAsia" w:ascii="楷体" w:hAnsi="楷体" w:eastAsia="楷体" w:cs="楷体"/>
          <w:b/>
          <w:bCs/>
          <w:sz w:val="24"/>
          <w:szCs w:val="24"/>
        </w:rPr>
        <w:br w:type="page"/>
      </w:r>
      <w:r>
        <w:rPr>
          <w:rFonts w:hint="eastAsia" w:ascii="楷体" w:hAnsi="楷体" w:eastAsia="楷体" w:cs="楷体"/>
          <w:b/>
          <w:bCs/>
          <w:sz w:val="28"/>
          <w:szCs w:val="28"/>
        </w:rPr>
        <w:t>评分索引表</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91"/>
        <w:gridCol w:w="32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25"/>
              <w:shd w:val="clear" w:color="auto" w:fill="FFFFFF"/>
              <w:spacing w:line="265" w:lineRule="atLeast"/>
              <w:ind w:left="420" w:firstLine="422"/>
              <w:jc w:val="center"/>
              <w:rPr>
                <w:rFonts w:ascii="楷体" w:hAnsi="楷体" w:eastAsia="楷体" w:cs="楷体"/>
                <w:b/>
                <w:bCs/>
              </w:rPr>
            </w:pPr>
            <w:r>
              <w:rPr>
                <w:rFonts w:hint="eastAsia" w:ascii="楷体" w:hAnsi="楷体" w:eastAsia="楷体" w:cs="楷体"/>
                <w:b/>
                <w:bCs/>
              </w:rPr>
              <w:t>评分项目</w:t>
            </w:r>
          </w:p>
        </w:tc>
        <w:tc>
          <w:tcPr>
            <w:tcW w:w="3269" w:type="dxa"/>
            <w:noWrap w:val="0"/>
            <w:vAlign w:val="center"/>
          </w:tcPr>
          <w:p>
            <w:pPr>
              <w:jc w:val="center"/>
              <w:rPr>
                <w:rFonts w:ascii="楷体" w:hAnsi="楷体" w:eastAsia="楷体" w:cs="楷体"/>
                <w:b/>
                <w:bCs/>
              </w:rPr>
            </w:pPr>
            <w:r>
              <w:rPr>
                <w:rFonts w:hint="eastAsia" w:ascii="楷体" w:hAnsi="楷体" w:eastAsia="楷体" w:cs="楷体"/>
                <w:b/>
                <w:bCs/>
                <w:kern w:val="0"/>
              </w:rPr>
              <w:t>在投标文件中的页码位置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5191" w:type="dxa"/>
            <w:noWrap w:val="0"/>
            <w:vAlign w:val="center"/>
          </w:tcPr>
          <w:p>
            <w:pPr>
              <w:pStyle w:val="25"/>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b/>
                <w:bCs/>
                <w:kern w:val="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25"/>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jc w:val="center"/>
        </w:trPr>
        <w:tc>
          <w:tcPr>
            <w:tcW w:w="8460" w:type="dxa"/>
            <w:gridSpan w:val="2"/>
            <w:noWrap w:val="0"/>
            <w:vAlign w:val="center"/>
          </w:tcPr>
          <w:p>
            <w:pPr>
              <w:pStyle w:val="25"/>
              <w:shd w:val="clear" w:color="auto" w:fill="FFFFFF"/>
              <w:spacing w:line="265" w:lineRule="atLeast"/>
              <w:ind w:left="420"/>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8460" w:type="dxa"/>
            <w:gridSpan w:val="2"/>
            <w:noWrap w:val="0"/>
            <w:vAlign w:val="center"/>
          </w:tcPr>
          <w:p>
            <w:pPr>
              <w:pStyle w:val="25"/>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25"/>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5191" w:type="dxa"/>
            <w:noWrap w:val="0"/>
            <w:vAlign w:val="center"/>
          </w:tcPr>
          <w:p>
            <w:pPr>
              <w:pStyle w:val="25"/>
              <w:shd w:val="clear" w:color="auto" w:fill="FFFFFF"/>
              <w:spacing w:line="265" w:lineRule="atLeast"/>
              <w:ind w:left="420"/>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5191" w:type="dxa"/>
            <w:noWrap w:val="0"/>
            <w:vAlign w:val="center"/>
          </w:tcPr>
          <w:p>
            <w:pPr>
              <w:pStyle w:val="25"/>
              <w:shd w:val="clear" w:color="auto" w:fill="FFFFFF"/>
              <w:spacing w:line="265" w:lineRule="atLeast"/>
              <w:ind w:left="420" w:firstLine="422"/>
              <w:jc w:val="center"/>
              <w:rPr>
                <w:rFonts w:ascii="楷体" w:hAnsi="楷体" w:eastAsia="楷体" w:cs="楷体"/>
                <w:b/>
                <w:bCs/>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8460" w:type="dxa"/>
            <w:gridSpan w:val="2"/>
            <w:noWrap w:val="0"/>
            <w:vAlign w:val="center"/>
          </w:tcPr>
          <w:p>
            <w:pPr>
              <w:pStyle w:val="25"/>
              <w:shd w:val="clear" w:color="auto" w:fill="FFFFFF"/>
              <w:spacing w:line="265" w:lineRule="atLeast"/>
              <w:ind w:left="420" w:firstLine="422"/>
              <w:jc w:val="center"/>
              <w:rPr>
                <w:rFonts w:ascii="楷体" w:hAnsi="楷体" w:eastAsia="楷体" w:cs="楷体"/>
                <w:b/>
                <w:bC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jc w:val="center"/>
        </w:trPr>
        <w:tc>
          <w:tcPr>
            <w:tcW w:w="5191" w:type="dxa"/>
            <w:noWrap w:val="0"/>
            <w:vAlign w:val="center"/>
          </w:tcPr>
          <w:p>
            <w:pPr>
              <w:pStyle w:val="25"/>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9" w:hRule="atLeast"/>
          <w:jc w:val="center"/>
        </w:trPr>
        <w:tc>
          <w:tcPr>
            <w:tcW w:w="5191" w:type="dxa"/>
            <w:noWrap w:val="0"/>
            <w:vAlign w:val="center"/>
          </w:tcPr>
          <w:p>
            <w:pPr>
              <w:pStyle w:val="25"/>
              <w:shd w:val="clear" w:color="auto" w:fill="FFFFFF"/>
              <w:spacing w:line="265" w:lineRule="atLeast"/>
              <w:jc w:val="center"/>
              <w:rPr>
                <w:rFonts w:ascii="楷体" w:hAnsi="楷体" w:eastAsia="楷体" w:cs="楷体"/>
              </w:rPr>
            </w:pPr>
          </w:p>
        </w:tc>
        <w:tc>
          <w:tcPr>
            <w:tcW w:w="3269" w:type="dxa"/>
            <w:noWrap w:val="0"/>
            <w:vAlign w:val="center"/>
          </w:tcPr>
          <w:p>
            <w:pPr>
              <w:jc w:val="center"/>
              <w:rPr>
                <w:rFonts w:ascii="楷体" w:hAnsi="楷体" w:eastAsia="楷体" w:cs="楷体"/>
              </w:rPr>
            </w:pPr>
          </w:p>
        </w:tc>
      </w:tr>
    </w:tbl>
    <w:p>
      <w:pPr>
        <w:rPr>
          <w:rFonts w:ascii="楷体" w:hAnsi="楷体" w:eastAsia="楷体" w:cs="楷体"/>
        </w:rPr>
      </w:pPr>
    </w:p>
    <w:p>
      <w:pPr>
        <w:ind w:firstLine="723"/>
        <w:jc w:val="center"/>
        <w:rPr>
          <w:rFonts w:ascii="楷体" w:hAnsi="楷体" w:eastAsia="楷体" w:cs="楷体"/>
        </w:rPr>
      </w:pPr>
      <w:r>
        <w:rPr>
          <w:rFonts w:hint="eastAsia" w:ascii="楷体" w:hAnsi="楷体" w:eastAsia="楷体" w:cs="楷体"/>
        </w:rPr>
        <w:br w:type="page"/>
      </w:r>
      <w:r>
        <w:rPr>
          <w:rFonts w:hint="eastAsia" w:ascii="楷体" w:hAnsi="楷体" w:eastAsia="楷体" w:cs="楷体"/>
          <w:b/>
          <w:bCs/>
          <w:sz w:val="36"/>
          <w:szCs w:val="36"/>
        </w:rPr>
        <w:t>投标主要文件目录</w:t>
      </w:r>
    </w:p>
    <w:p>
      <w:pPr>
        <w:ind w:firstLine="140" w:firstLineChars="50"/>
        <w:rPr>
          <w:rFonts w:ascii="楷体" w:hAnsi="楷体" w:eastAsia="楷体" w:cs="楷体"/>
          <w:sz w:val="28"/>
          <w:szCs w:val="28"/>
        </w:rPr>
      </w:pPr>
      <w:r>
        <w:rPr>
          <w:rFonts w:hint="eastAsia" w:ascii="楷体" w:hAnsi="楷体" w:eastAsia="楷体" w:cs="楷体"/>
          <w:sz w:val="28"/>
          <w:szCs w:val="28"/>
        </w:rPr>
        <w:t>请响应商编制目录及页码，否则可能将影响对投标文件的评价。</w:t>
      </w:r>
    </w:p>
    <w:p>
      <w:pPr>
        <w:ind w:left="480"/>
        <w:rPr>
          <w:rFonts w:ascii="楷体" w:hAnsi="楷体" w:eastAsia="楷体" w:cs="楷体"/>
          <w:sz w:val="24"/>
          <w:szCs w:val="24"/>
        </w:rPr>
      </w:pPr>
    </w:p>
    <w:p>
      <w:pPr>
        <w:rPr>
          <w:rFonts w:ascii="楷体" w:hAnsi="楷体" w:eastAsia="楷体" w:cs="楷体"/>
        </w:rPr>
      </w:pPr>
    </w:p>
    <w:p>
      <w:pPr>
        <w:jc w:val="center"/>
        <w:rPr>
          <w:rFonts w:ascii="楷体" w:hAnsi="楷体" w:eastAsia="楷体" w:cs="楷体"/>
        </w:rPr>
      </w:pPr>
      <w:r>
        <w:rPr>
          <w:rFonts w:hint="eastAsia" w:ascii="楷体" w:hAnsi="楷体" w:eastAsia="楷体" w:cs="楷体"/>
        </w:rPr>
        <w:br w:type="page"/>
      </w:r>
      <w:bookmarkStart w:id="79" w:name="_Toc449017027"/>
    </w:p>
    <w:bookmarkEnd w:id="57"/>
    <w:bookmarkEnd w:id="58"/>
    <w:bookmarkEnd w:id="76"/>
    <w:bookmarkEnd w:id="77"/>
    <w:bookmarkEnd w:id="78"/>
    <w:bookmarkEnd w:id="79"/>
    <w:p>
      <w:pPr>
        <w:pStyle w:val="4"/>
        <w:bidi w:val="0"/>
        <w:jc w:val="center"/>
      </w:pPr>
      <w:bookmarkStart w:id="80" w:name="_Toc13734"/>
      <w:bookmarkStart w:id="81" w:name="_Toc25957"/>
      <w:bookmarkStart w:id="82" w:name="_Toc14521"/>
      <w:bookmarkStart w:id="83" w:name="_Toc20268"/>
      <w:r>
        <w:rPr>
          <w:rFonts w:hint="eastAsia"/>
        </w:rPr>
        <w:t>一、磋商函</w:t>
      </w:r>
      <w:bookmarkEnd w:id="80"/>
      <w:bookmarkEnd w:id="81"/>
      <w:bookmarkEnd w:id="82"/>
      <w:bookmarkEnd w:id="83"/>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南京交通职业技术学院：</w:t>
      </w:r>
    </w:p>
    <w:p>
      <w:pPr>
        <w:widowControl/>
        <w:snapToGrid w:val="0"/>
        <w:spacing w:before="19" w:line="500" w:lineRule="exact"/>
        <w:ind w:firstLine="480" w:firstLineChars="200"/>
        <w:rPr>
          <w:rFonts w:ascii="楷体" w:hAnsi="楷体" w:eastAsia="楷体" w:cs="楷体"/>
          <w:b/>
          <w:bCs/>
          <w:sz w:val="24"/>
          <w:szCs w:val="24"/>
        </w:rPr>
      </w:pPr>
      <w:r>
        <w:rPr>
          <w:rFonts w:hint="eastAsia" w:ascii="楷体" w:hAnsi="楷体" w:eastAsia="楷体" w:cs="楷体"/>
          <w:sz w:val="24"/>
          <w:szCs w:val="24"/>
        </w:rPr>
        <w:t xml:space="preserve">南京交通职业技术学院 </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r>
        <w:rPr>
          <w:rFonts w:hint="eastAsia" w:ascii="楷体" w:hAnsi="楷体" w:eastAsia="楷体" w:cs="楷体"/>
          <w:sz w:val="24"/>
          <w:szCs w:val="24"/>
        </w:rPr>
        <w:t>（采购编号为：</w:t>
      </w:r>
      <w:r>
        <w:rPr>
          <w:rFonts w:hint="eastAsia" w:ascii="楷体" w:hAnsi="楷体" w:eastAsia="楷体" w:cs="楷体"/>
          <w:sz w:val="24"/>
          <w:szCs w:val="24"/>
          <w:lang w:eastAsia="zh-CN"/>
        </w:rPr>
        <w:t>JY20200</w:t>
      </w:r>
      <w:r>
        <w:rPr>
          <w:rFonts w:hint="eastAsia" w:ascii="楷体" w:hAnsi="楷体" w:eastAsia="楷体" w:cs="楷体"/>
          <w:sz w:val="24"/>
          <w:szCs w:val="24"/>
          <w:lang w:val="en-US" w:eastAsia="zh-CN"/>
        </w:rPr>
        <w:t>72</w:t>
      </w:r>
      <w:r>
        <w:rPr>
          <w:rFonts w:hint="eastAsia" w:ascii="楷体" w:hAnsi="楷体" w:eastAsia="楷体" w:cs="楷体"/>
          <w:sz w:val="24"/>
          <w:szCs w:val="24"/>
        </w:rPr>
        <w:t>）竞争性磋商文件（包括更正公告，如果有的话）收悉，我们经详细审阅和研究，现决定参加磋商。</w:t>
      </w:r>
    </w:p>
    <w:p>
      <w:pPr>
        <w:widowControl/>
        <w:snapToGrid w:val="0"/>
        <w:spacing w:before="19" w:line="500" w:lineRule="exact"/>
        <w:ind w:firstLine="480" w:firstLineChars="200"/>
        <w:rPr>
          <w:rFonts w:ascii="楷体" w:hAnsi="楷体" w:eastAsia="楷体" w:cs="楷体"/>
          <w:sz w:val="24"/>
          <w:szCs w:val="24"/>
        </w:rPr>
      </w:pPr>
      <w:r>
        <w:rPr>
          <w:rFonts w:hint="eastAsia" w:ascii="楷体" w:hAnsi="楷体" w:eastAsia="楷体" w:cs="楷体"/>
          <w:sz w:val="24"/>
          <w:szCs w:val="24"/>
        </w:rPr>
        <w:t>1、我们郑重承诺：我们是符合《政府采购法》第22条规定的供应商，并严格遵守《政府采购法》第77条的规定，本磋商响应文件中提供的所有材料均是真实有效的。</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2、我们接受竞争性磋商文件的所有的条款和规定。</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3、我们同意按照本竞争性磋商文件第二章“磋商须知”的规定，本磋商响应文件的有效期为从开标之日起计算的九十天，在此期间，本磋商响应文件将始终对我们具有约束力，并可随时被接受。如果我们成为成交供应商，本磋商响应文件在此期间之后将继续保持有效。</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4、我们同意提供采购人要求的有关本次采购的所有资料。</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5、我们理解，你们无义务必须接受报价最高的磋商响应文件，并有权拒绝所有的响应文件。同时也理解你们不承担我们本次磋商的费用。</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    6、如果我们成为成交供应商，为执行合同，我们将按供应商须知有关要求提供必要的履约保证。</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磋商供应商名称：（公章）</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地址：                          邮编：</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电话：                          传真：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法定代表人（授权代表）（签字或盖章）：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职务：                  </w:t>
      </w:r>
    </w:p>
    <w:p>
      <w:pPr>
        <w:widowControl/>
        <w:snapToGrid w:val="0"/>
        <w:spacing w:before="19" w:line="500" w:lineRule="exact"/>
        <w:rPr>
          <w:rFonts w:ascii="楷体" w:hAnsi="楷体" w:eastAsia="楷体" w:cs="楷体"/>
          <w:sz w:val="24"/>
          <w:szCs w:val="24"/>
        </w:rPr>
      </w:pPr>
      <w:r>
        <w:rPr>
          <w:rFonts w:hint="eastAsia" w:ascii="楷体" w:hAnsi="楷体" w:eastAsia="楷体" w:cs="楷体"/>
          <w:sz w:val="24"/>
          <w:szCs w:val="24"/>
        </w:rPr>
        <w:t xml:space="preserve">日期：                  </w:t>
      </w:r>
      <w:bookmarkStart w:id="84" w:name="_Toc2237"/>
      <w:bookmarkStart w:id="85" w:name="_Toc27417"/>
    </w:p>
    <w:bookmarkEnd w:id="84"/>
    <w:bookmarkEnd w:id="85"/>
    <w:p>
      <w:pPr>
        <w:widowControl/>
        <w:snapToGrid w:val="0"/>
        <w:spacing w:before="19" w:line="500" w:lineRule="exact"/>
        <w:rPr>
          <w:rFonts w:ascii="楷体" w:hAnsi="楷体" w:eastAsia="楷体" w:cs="楷体"/>
        </w:rPr>
      </w:pPr>
    </w:p>
    <w:p>
      <w:pPr>
        <w:spacing w:line="500" w:lineRule="exact"/>
        <w:rPr>
          <w:rFonts w:ascii="楷体" w:hAnsi="楷体" w:eastAsia="楷体" w:cs="楷体"/>
          <w:sz w:val="24"/>
        </w:rPr>
      </w:pPr>
    </w:p>
    <w:p>
      <w:pPr>
        <w:pStyle w:val="2"/>
      </w:pPr>
    </w:p>
    <w:p>
      <w:pPr>
        <w:pStyle w:val="4"/>
        <w:bidi w:val="0"/>
        <w:jc w:val="center"/>
        <w:rPr>
          <w:rFonts w:hint="eastAsia" w:ascii="Arial" w:hAnsi="Arial"/>
          <w:b/>
        </w:rPr>
      </w:pPr>
      <w:bookmarkStart w:id="86" w:name="_Toc17846"/>
      <w:bookmarkStart w:id="87" w:name="_Toc4264"/>
      <w:r>
        <w:rPr>
          <w:rFonts w:hint="eastAsia" w:ascii="Arial" w:hAnsi="Arial"/>
          <w:b/>
        </w:rPr>
        <w:t>二、报价表</w:t>
      </w:r>
      <w:bookmarkEnd w:id="86"/>
      <w:bookmarkEnd w:id="87"/>
    </w:p>
    <w:p>
      <w:pPr>
        <w:pStyle w:val="11"/>
        <w:ind w:firstLine="210"/>
      </w:pPr>
    </w:p>
    <w:tbl>
      <w:tblPr>
        <w:tblStyle w:val="12"/>
        <w:tblW w:w="84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78"/>
        <w:gridCol w:w="53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078"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项目名称</w:t>
            </w:r>
          </w:p>
        </w:tc>
        <w:tc>
          <w:tcPr>
            <w:tcW w:w="5339" w:type="dxa"/>
            <w:noWrap w:val="0"/>
            <w:vAlign w:val="center"/>
          </w:tcPr>
          <w:p>
            <w:pPr>
              <w:adjustRightInd w:val="0"/>
              <w:snapToGrid w:val="0"/>
              <w:jc w:val="left"/>
              <w:rPr>
                <w:rFonts w:ascii="楷体" w:hAnsi="楷体" w:eastAsia="楷体" w:cs="楷体"/>
                <w:sz w:val="24"/>
                <w:szCs w:val="24"/>
              </w:rPr>
            </w:pPr>
            <w:r>
              <w:rPr>
                <w:rFonts w:hint="eastAsia" w:ascii="楷体" w:hAnsi="楷体" w:eastAsia="楷体" w:cs="楷体"/>
                <w:sz w:val="24"/>
                <w:szCs w:val="24"/>
              </w:rPr>
              <w:t xml:space="preserve">南京交通职业技术学院 </w:t>
            </w:r>
            <w:r>
              <w:rPr>
                <w:rFonts w:hint="eastAsia" w:ascii="楷体" w:hAnsi="楷体" w:eastAsia="楷体" w:cs="楷体"/>
                <w:sz w:val="24"/>
                <w:szCs w:val="24"/>
                <w:lang w:eastAsia="zh-CN"/>
              </w:rPr>
              <w:t>学校网络建设项目监理</w:t>
            </w:r>
            <w:r>
              <w:rPr>
                <w:rFonts w:hint="eastAsia" w:ascii="楷体" w:hAnsi="楷体" w:eastAsia="楷体" w:cs="楷体"/>
                <w:sz w:val="24"/>
                <w:szCs w:val="24"/>
              </w:rPr>
              <w:t>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3078" w:type="dxa"/>
            <w:noWrap w:val="0"/>
            <w:vAlign w:val="center"/>
          </w:tcPr>
          <w:p>
            <w:pPr>
              <w:adjustRightInd w:val="0"/>
              <w:snapToGrid w:val="0"/>
              <w:jc w:val="center"/>
              <w:rPr>
                <w:rFonts w:ascii="楷体" w:hAnsi="楷体" w:eastAsia="楷体" w:cs="楷体"/>
                <w:sz w:val="24"/>
                <w:szCs w:val="24"/>
              </w:rPr>
            </w:pPr>
            <w:r>
              <w:rPr>
                <w:rFonts w:hint="eastAsia" w:ascii="楷体" w:hAnsi="楷体" w:eastAsia="楷体" w:cs="楷体"/>
                <w:sz w:val="24"/>
                <w:szCs w:val="24"/>
              </w:rPr>
              <w:t>项目编号</w:t>
            </w:r>
          </w:p>
        </w:tc>
        <w:tc>
          <w:tcPr>
            <w:tcW w:w="5339" w:type="dxa"/>
            <w:noWrap w:val="0"/>
            <w:vAlign w:val="center"/>
          </w:tcPr>
          <w:p>
            <w:pPr>
              <w:adjustRightInd w:val="0"/>
              <w:snapToGrid w:val="0"/>
              <w:jc w:val="left"/>
              <w:rPr>
                <w:rFonts w:hint="default" w:ascii="楷体" w:hAnsi="楷体" w:eastAsia="楷体" w:cs="楷体"/>
                <w:sz w:val="24"/>
                <w:szCs w:val="24"/>
                <w:lang w:val="en-US" w:eastAsia="zh-CN"/>
              </w:rPr>
            </w:pPr>
            <w:r>
              <w:rPr>
                <w:rFonts w:hint="eastAsia" w:ascii="楷体" w:hAnsi="楷体" w:eastAsia="楷体" w:cs="楷体"/>
                <w:b/>
                <w:bCs/>
                <w:sz w:val="24"/>
                <w:szCs w:val="24"/>
                <w:lang w:eastAsia="zh-CN"/>
              </w:rPr>
              <w:t>JY20200</w:t>
            </w:r>
            <w:r>
              <w:rPr>
                <w:rFonts w:hint="eastAsia" w:ascii="楷体" w:hAnsi="楷体" w:eastAsia="楷体" w:cs="楷体"/>
                <w:b/>
                <w:bCs/>
                <w:sz w:val="24"/>
                <w:szCs w:val="24"/>
                <w:lang w:val="en-US" w:eastAsia="zh-CN"/>
              </w:rPr>
              <w:t>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1" w:hRule="atLeast"/>
        </w:trPr>
        <w:tc>
          <w:tcPr>
            <w:tcW w:w="3078"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磋商报价总计</w:t>
            </w:r>
          </w:p>
        </w:tc>
        <w:tc>
          <w:tcPr>
            <w:tcW w:w="5339" w:type="dxa"/>
            <w:noWrap w:val="0"/>
            <w:vAlign w:val="bottom"/>
          </w:tcPr>
          <w:p>
            <w:pPr>
              <w:adjustRightInd w:val="0"/>
              <w:snapToGrid w:val="0"/>
              <w:spacing w:line="360" w:lineRule="auto"/>
              <w:jc w:val="center"/>
              <w:rPr>
                <w:rFonts w:ascii="楷体" w:hAnsi="楷体" w:eastAsia="楷体" w:cs="楷体"/>
                <w:sz w:val="24"/>
                <w:szCs w:val="24"/>
              </w:rPr>
            </w:pPr>
            <w:r>
              <w:rPr>
                <w:rFonts w:hint="eastAsia" w:ascii="楷体" w:hAnsi="楷体" w:eastAsia="楷体" w:cs="楷体"/>
                <w:sz w:val="24"/>
                <w:szCs w:val="24"/>
              </w:rPr>
              <w:t>总报价小写：</w:t>
            </w:r>
            <w:r>
              <w:rPr>
                <w:rFonts w:hint="eastAsia" w:ascii="楷体" w:hAnsi="楷体" w:eastAsia="楷体" w:cs="楷体"/>
                <w:sz w:val="24"/>
                <w:szCs w:val="24"/>
                <w:u w:val="single"/>
              </w:rPr>
              <w:t>　　        　 </w:t>
            </w:r>
            <w:r>
              <w:rPr>
                <w:rFonts w:hint="eastAsia" w:ascii="楷体" w:hAnsi="楷体" w:eastAsia="楷体" w:cs="楷体"/>
                <w:sz w:val="24"/>
                <w:szCs w:val="24"/>
              </w:rPr>
              <w:t xml:space="preserve"> 元</w:t>
            </w:r>
          </w:p>
        </w:tc>
      </w:tr>
    </w:tbl>
    <w:p>
      <w:pPr>
        <w:tabs>
          <w:tab w:val="left" w:pos="142"/>
        </w:tabs>
        <w:spacing w:line="500" w:lineRule="exact"/>
        <w:ind w:firstLine="480" w:firstLineChars="200"/>
        <w:jc w:val="left"/>
        <w:rPr>
          <w:rFonts w:ascii="仿宋" w:hAnsi="仿宋" w:eastAsia="仿宋" w:cs="仿宋"/>
          <w:color w:val="000000"/>
          <w:sz w:val="24"/>
          <w:szCs w:val="24"/>
        </w:rPr>
      </w:pPr>
      <w:bookmarkStart w:id="88" w:name="_Toc6890"/>
      <w:bookmarkStart w:id="89" w:name="_Toc818"/>
      <w:bookmarkStart w:id="90" w:name="_Toc5613"/>
      <w:bookmarkStart w:id="91" w:name="_Toc12366"/>
      <w:r>
        <w:rPr>
          <w:rFonts w:hint="eastAsia" w:ascii="仿宋" w:hAnsi="仿宋" w:eastAsia="仿宋" w:cs="仿宋"/>
          <w:color w:val="000000"/>
          <w:sz w:val="24"/>
          <w:szCs w:val="24"/>
        </w:rPr>
        <w:t>响应供应商全称（公章）：        </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tabs>
          <w:tab w:val="left" w:pos="142"/>
        </w:tabs>
        <w:spacing w:line="500" w:lineRule="exact"/>
        <w:ind w:firstLine="480" w:firstLineChars="200"/>
        <w:jc w:val="left"/>
        <w:rPr>
          <w:rFonts w:ascii="仿宋" w:hAnsi="仿宋" w:eastAsia="仿宋" w:cs="仿宋"/>
          <w:color w:val="000000"/>
          <w:sz w:val="24"/>
          <w:szCs w:val="24"/>
        </w:rPr>
      </w:pPr>
      <w:r>
        <w:rPr>
          <w:rFonts w:hint="eastAsia" w:ascii="仿宋" w:hAnsi="仿宋" w:eastAsia="仿宋" w:cs="仿宋"/>
          <w:color w:val="000000"/>
          <w:sz w:val="24"/>
          <w:szCs w:val="24"/>
        </w:rPr>
        <w:t>日期：   </w:t>
      </w:r>
    </w:p>
    <w:p>
      <w:pPr>
        <w:tabs>
          <w:tab w:val="left" w:pos="142"/>
        </w:tabs>
        <w:spacing w:line="500" w:lineRule="exact"/>
        <w:jc w:val="left"/>
        <w:rPr>
          <w:rFonts w:ascii="仿宋" w:hAnsi="仿宋" w:eastAsia="仿宋" w:cs="仿宋"/>
          <w:color w:val="000000"/>
          <w:sz w:val="24"/>
        </w:rPr>
      </w:pPr>
      <w:r>
        <w:rPr>
          <w:rFonts w:hint="eastAsia" w:ascii="仿宋" w:hAnsi="仿宋" w:eastAsia="仿宋" w:cs="仿宋"/>
          <w:color w:val="000000"/>
          <w:sz w:val="24"/>
        </w:rPr>
        <w:t>注</w:t>
      </w:r>
      <w:r>
        <w:rPr>
          <w:rFonts w:ascii="仿宋" w:hAnsi="仿宋" w:eastAsia="仿宋" w:cs="仿宋"/>
          <w:color w:val="000000"/>
          <w:sz w:val="24"/>
        </w:rPr>
        <w:t>:</w:t>
      </w:r>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rPr>
        <w:t>（</w:t>
      </w:r>
      <w:r>
        <w:rPr>
          <w:rFonts w:ascii="仿宋" w:hAnsi="仿宋" w:eastAsia="仿宋" w:cs="仿宋"/>
          <w:color w:val="000000"/>
          <w:sz w:val="24"/>
        </w:rPr>
        <w:t>1</w:t>
      </w:r>
      <w:r>
        <w:rPr>
          <w:rFonts w:hint="eastAsia" w:ascii="仿宋" w:hAnsi="仿宋" w:eastAsia="仿宋" w:cs="仿宋"/>
          <w:color w:val="000000"/>
          <w:sz w:val="24"/>
        </w:rPr>
        <w:t>）相应总报价应包含本项目服务期间的所有含税费用，</w:t>
      </w:r>
      <w:r>
        <w:rPr>
          <w:rFonts w:hint="eastAsia" w:ascii="仿宋" w:hAnsi="仿宋" w:eastAsia="仿宋" w:cs="仿宋"/>
          <w:color w:val="000000"/>
          <w:sz w:val="24"/>
          <w:szCs w:val="24"/>
        </w:rPr>
        <w:t>包括但不仅限于人员费用（12个月工资、全年福利、培训、体检、社会保险、加班费等），服务所用设备、工具购置及维护费用，服务所用材料消耗费用、管理费用、利润、税金等支出。</w:t>
      </w:r>
    </w:p>
    <w:p>
      <w:pPr>
        <w:tabs>
          <w:tab w:val="left" w:pos="142"/>
        </w:tabs>
        <w:spacing w:line="500" w:lineRule="exact"/>
        <w:ind w:firstLine="480" w:firstLineChars="200"/>
        <w:jc w:val="left"/>
        <w:rPr>
          <w:rFonts w:hint="eastAsia" w:ascii="仿宋" w:hAnsi="仿宋" w:eastAsia="仿宋" w:cs="仿宋"/>
          <w:color w:val="000000"/>
          <w:sz w:val="24"/>
          <w:lang w:val="zh-CN"/>
        </w:rPr>
      </w:pPr>
      <w:r>
        <w:rPr>
          <w:rFonts w:hint="eastAsia" w:ascii="仿宋" w:hAnsi="仿宋" w:eastAsia="仿宋" w:cs="仿宋"/>
          <w:color w:val="000000"/>
          <w:sz w:val="24"/>
          <w:lang w:val="zh-CN"/>
        </w:rPr>
        <w:t>（</w:t>
      </w:r>
      <w:r>
        <w:rPr>
          <w:rFonts w:ascii="仿宋" w:hAnsi="仿宋" w:eastAsia="仿宋" w:cs="仿宋"/>
          <w:color w:val="000000"/>
          <w:sz w:val="24"/>
        </w:rPr>
        <w:t>2</w:t>
      </w:r>
      <w:r>
        <w:rPr>
          <w:rFonts w:hint="eastAsia" w:ascii="仿宋" w:hAnsi="仿宋" w:eastAsia="仿宋" w:cs="仿宋"/>
          <w:color w:val="000000"/>
          <w:sz w:val="24"/>
          <w:lang w:val="zh-CN"/>
        </w:rPr>
        <w:t>）</w:t>
      </w:r>
      <w:r>
        <w:rPr>
          <w:rFonts w:hint="eastAsia" w:ascii="仿宋" w:hAnsi="仿宋" w:eastAsia="仿宋" w:cs="仿宋"/>
          <w:color w:val="000000"/>
          <w:sz w:val="24"/>
        </w:rPr>
        <w:t>相应</w:t>
      </w:r>
      <w:r>
        <w:rPr>
          <w:rFonts w:hint="eastAsia" w:ascii="仿宋" w:hAnsi="仿宋" w:eastAsia="仿宋" w:cs="仿宋"/>
          <w:color w:val="000000"/>
          <w:sz w:val="24"/>
          <w:lang w:val="zh-CN"/>
        </w:rPr>
        <w:t>商不得实质性改动开标一览表格式及内容。</w:t>
      </w:r>
      <w:bookmarkStart w:id="92" w:name="_Toc14915"/>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（3）磋商文件未列明，而响应商认为必需的费用也需列入报价。</w:t>
      </w:r>
    </w:p>
    <w:p>
      <w:pPr>
        <w:tabs>
          <w:tab w:val="left" w:pos="142"/>
        </w:tabs>
        <w:spacing w:line="500" w:lineRule="exact"/>
        <w:ind w:firstLine="480" w:firstLineChars="200"/>
        <w:jc w:val="left"/>
        <w:rPr>
          <w:rFonts w:hint="eastAsia" w:ascii="仿宋" w:hAnsi="仿宋" w:eastAsia="仿宋" w:cs="仿宋"/>
          <w:color w:val="000000"/>
          <w:sz w:val="24"/>
          <w:szCs w:val="24"/>
        </w:rPr>
      </w:pPr>
      <w:r>
        <w:rPr>
          <w:rFonts w:hint="eastAsia" w:ascii="仿宋" w:hAnsi="仿宋" w:eastAsia="仿宋" w:cs="仿宋"/>
          <w:color w:val="000000"/>
          <w:sz w:val="24"/>
          <w:szCs w:val="24"/>
        </w:rPr>
        <w:t>（4）报价是一年价格，本报价必须充分考虑所有可能影响到报价的价格因素，一旦响应结束最终成交，总价将包定，合同期内一般不予调整。如发生漏、缺、少项，都将被认为是成交商的报价让利行为。</w:t>
      </w:r>
    </w:p>
    <w:p>
      <w:pPr>
        <w:tabs>
          <w:tab w:val="left" w:pos="142"/>
        </w:tabs>
        <w:spacing w:line="500" w:lineRule="exact"/>
        <w:ind w:firstLine="480" w:firstLineChars="200"/>
        <w:jc w:val="left"/>
        <w:rPr>
          <w:rFonts w:hint="eastAsia" w:ascii="仿宋" w:hAnsi="仿宋" w:eastAsia="仿宋" w:cs="仿宋"/>
          <w:color w:val="000000"/>
          <w:sz w:val="24"/>
          <w:szCs w:val="24"/>
        </w:rPr>
      </w:pPr>
    </w:p>
    <w:bookmarkEnd w:id="92"/>
    <w:p>
      <w:pPr>
        <w:pStyle w:val="24"/>
        <w:numPr>
          <w:ilvl w:val="0"/>
          <w:numId w:val="0"/>
        </w:numPr>
        <w:jc w:val="center"/>
        <w:outlineLvl w:val="9"/>
        <w:rPr>
          <w:rFonts w:hint="eastAsia" w:ascii="楷体" w:hAnsi="楷体" w:eastAsia="楷体" w:cs="楷体"/>
        </w:rPr>
      </w:pPr>
    </w:p>
    <w:p>
      <w:pPr>
        <w:pStyle w:val="24"/>
        <w:numPr>
          <w:ilvl w:val="0"/>
          <w:numId w:val="0"/>
        </w:numPr>
        <w:jc w:val="center"/>
        <w:outlineLvl w:val="9"/>
        <w:rPr>
          <w:rFonts w:hint="eastAsia" w:ascii="楷体" w:hAnsi="楷体" w:eastAsia="楷体" w:cs="楷体"/>
        </w:rPr>
      </w:pPr>
    </w:p>
    <w:p>
      <w:pPr>
        <w:pStyle w:val="24"/>
        <w:numPr>
          <w:ilvl w:val="0"/>
          <w:numId w:val="0"/>
        </w:numPr>
        <w:jc w:val="center"/>
        <w:outlineLvl w:val="9"/>
        <w:rPr>
          <w:rFonts w:hint="eastAsia" w:ascii="楷体" w:hAnsi="楷体" w:eastAsia="楷体" w:cs="楷体"/>
        </w:rPr>
      </w:pPr>
    </w:p>
    <w:p>
      <w:pPr>
        <w:rPr>
          <w:rFonts w:hint="eastAsia" w:ascii="楷体" w:hAnsi="楷体" w:eastAsia="楷体" w:cs="楷体"/>
          <w:b/>
          <w:bCs/>
        </w:rPr>
      </w:pPr>
    </w:p>
    <w:p>
      <w:pPr>
        <w:pStyle w:val="11"/>
        <w:ind w:firstLine="211"/>
        <w:rPr>
          <w:rFonts w:hint="eastAsia" w:ascii="楷体" w:hAnsi="楷体" w:eastAsia="楷体" w:cs="楷体"/>
          <w:b/>
          <w:bCs/>
        </w:rPr>
      </w:pPr>
    </w:p>
    <w:p>
      <w:pPr>
        <w:pStyle w:val="11"/>
        <w:ind w:firstLine="211"/>
        <w:rPr>
          <w:rFonts w:hint="eastAsia" w:ascii="楷体" w:hAnsi="楷体" w:eastAsia="楷体" w:cs="楷体"/>
          <w:b/>
          <w:bCs/>
        </w:rPr>
      </w:pPr>
    </w:p>
    <w:p>
      <w:pPr>
        <w:pStyle w:val="11"/>
        <w:ind w:firstLine="211"/>
        <w:rPr>
          <w:rFonts w:hint="eastAsia" w:ascii="楷体" w:hAnsi="楷体" w:eastAsia="楷体" w:cs="楷体"/>
          <w:b/>
          <w:bCs/>
        </w:rPr>
      </w:pPr>
    </w:p>
    <w:p>
      <w:pPr>
        <w:pStyle w:val="24"/>
        <w:numPr>
          <w:ilvl w:val="0"/>
          <w:numId w:val="0"/>
        </w:numPr>
        <w:jc w:val="center"/>
        <w:outlineLvl w:val="9"/>
        <w:rPr>
          <w:rFonts w:hint="eastAsia" w:ascii="楷体" w:hAnsi="楷体" w:eastAsia="楷体" w:cs="楷体"/>
        </w:rPr>
      </w:pPr>
    </w:p>
    <w:bookmarkEnd w:id="88"/>
    <w:p>
      <w:pPr>
        <w:pStyle w:val="4"/>
        <w:bidi w:val="0"/>
        <w:jc w:val="center"/>
        <w:rPr>
          <w:rFonts w:hint="eastAsia" w:ascii="Arial" w:hAnsi="Arial"/>
          <w:b/>
        </w:rPr>
      </w:pPr>
      <w:bookmarkStart w:id="93" w:name="_Toc1752"/>
      <w:bookmarkStart w:id="94" w:name="_Toc8031"/>
      <w:bookmarkStart w:id="95" w:name="_Toc25862"/>
      <w:bookmarkStart w:id="96" w:name="_Toc32133"/>
      <w:bookmarkStart w:id="97" w:name="_Toc448482858"/>
      <w:bookmarkStart w:id="98" w:name="_Toc16074"/>
      <w:bookmarkStart w:id="99" w:name="_Toc365968485"/>
      <w:bookmarkStart w:id="100" w:name="_Toc351733250"/>
      <w:r>
        <w:rPr>
          <w:rFonts w:hint="eastAsia" w:ascii="Arial" w:hAnsi="Arial"/>
          <w:b/>
        </w:rPr>
        <w:t>三、服务要求响应表</w:t>
      </w:r>
      <w:bookmarkEnd w:id="93"/>
      <w:bookmarkEnd w:id="94"/>
      <w:bookmarkEnd w:id="95"/>
      <w:bookmarkEnd w:id="96"/>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仿宋" w:hAnsi="仿宋" w:eastAsia="仿宋" w:cs="仿宋"/>
          <w:color w:val="000000"/>
          <w:sz w:val="24"/>
          <w:szCs w:val="24"/>
        </w:rPr>
      </w:pPr>
      <w:r>
        <w:rPr>
          <w:rFonts w:hint="eastAsia" w:ascii="楷体" w:hAnsi="楷体" w:eastAsia="楷体" w:cs="楷体"/>
          <w:sz w:val="24"/>
          <w:szCs w:val="24"/>
        </w:rPr>
        <w:t>日    期：</w:t>
      </w:r>
    </w:p>
    <w:p>
      <w:pPr>
        <w:widowControl/>
        <w:topLinePunct/>
        <w:snapToGrid w:val="0"/>
        <w:spacing w:line="360" w:lineRule="auto"/>
        <w:jc w:val="center"/>
        <w:rPr>
          <w:rFonts w:hint="eastAsia" w:ascii="楷体" w:hAnsi="楷体" w:eastAsia="楷体" w:cs="楷体"/>
          <w:b/>
          <w:bCs/>
          <w:sz w:val="28"/>
          <w:szCs w:val="28"/>
        </w:rPr>
      </w:pPr>
      <w:r>
        <w:rPr>
          <w:rFonts w:hint="eastAsia" w:ascii="楷体" w:hAnsi="楷体" w:eastAsia="楷体" w:cs="楷体"/>
          <w:b/>
          <w:bCs/>
          <w:sz w:val="28"/>
          <w:szCs w:val="28"/>
        </w:rPr>
        <w:t>商务要求响应表</w:t>
      </w: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5"/>
        <w:gridCol w:w="1435"/>
        <w:gridCol w:w="3634"/>
        <w:gridCol w:w="1559"/>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序号</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项目</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磋商要求</w:t>
            </w:r>
          </w:p>
        </w:tc>
        <w:tc>
          <w:tcPr>
            <w:tcW w:w="1559"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响应单位相应情况</w:t>
            </w:r>
          </w:p>
        </w:tc>
        <w:tc>
          <w:tcPr>
            <w:tcW w:w="1187"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偏离情况（-/=/+）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1</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2</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4"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3</w:t>
            </w:r>
          </w:p>
        </w:tc>
        <w:tc>
          <w:tcPr>
            <w:tcW w:w="1435" w:type="dxa"/>
            <w:noWrap w:val="0"/>
            <w:vAlign w:val="center"/>
          </w:tcPr>
          <w:p>
            <w:pPr>
              <w:adjustRightInd w:val="0"/>
              <w:snapToGrid w:val="0"/>
              <w:spacing w:line="360" w:lineRule="auto"/>
              <w:rPr>
                <w:rFonts w:hint="eastAsia" w:ascii="楷体" w:hAnsi="楷体" w:eastAsia="楷体" w:cs="楷体"/>
                <w:sz w:val="24"/>
                <w:szCs w:val="24"/>
              </w:rPr>
            </w:pPr>
          </w:p>
        </w:tc>
        <w:tc>
          <w:tcPr>
            <w:tcW w:w="3634" w:type="dxa"/>
            <w:noWrap w:val="0"/>
            <w:vAlign w:val="center"/>
          </w:tcPr>
          <w:p>
            <w:pPr>
              <w:adjustRightInd w:val="0"/>
              <w:snapToGrid w:val="0"/>
              <w:spacing w:line="360" w:lineRule="auto"/>
              <w:rPr>
                <w:rFonts w:hint="eastAsia" w:ascii="楷体" w:hAnsi="楷体" w:eastAsia="楷体" w:cs="楷体"/>
                <w:sz w:val="24"/>
                <w:szCs w:val="24"/>
              </w:rPr>
            </w:pP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2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4</w:t>
            </w:r>
          </w:p>
        </w:tc>
        <w:tc>
          <w:tcPr>
            <w:tcW w:w="1435"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3634" w:type="dxa"/>
            <w:noWrap w:val="0"/>
            <w:vAlign w:val="center"/>
          </w:tcPr>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w:t>
            </w:r>
          </w:p>
        </w:tc>
        <w:tc>
          <w:tcPr>
            <w:tcW w:w="1559" w:type="dxa"/>
            <w:noWrap w:val="0"/>
            <w:vAlign w:val="center"/>
          </w:tcPr>
          <w:p>
            <w:pPr>
              <w:adjustRightInd w:val="0"/>
              <w:snapToGrid w:val="0"/>
              <w:spacing w:line="360" w:lineRule="auto"/>
              <w:rPr>
                <w:rFonts w:hint="eastAsia" w:ascii="楷体" w:hAnsi="楷体" w:eastAsia="楷体" w:cs="楷体"/>
                <w:sz w:val="24"/>
                <w:szCs w:val="24"/>
              </w:rPr>
            </w:pPr>
          </w:p>
        </w:tc>
        <w:tc>
          <w:tcPr>
            <w:tcW w:w="1187" w:type="dxa"/>
            <w:noWrap w:val="0"/>
            <w:vAlign w:val="center"/>
          </w:tcPr>
          <w:p>
            <w:pPr>
              <w:adjustRightInd w:val="0"/>
              <w:snapToGrid w:val="0"/>
              <w:spacing w:line="360" w:lineRule="auto"/>
              <w:rPr>
                <w:rFonts w:hint="eastAsia" w:ascii="楷体" w:hAnsi="楷体" w:eastAsia="楷体" w:cs="楷体"/>
                <w:sz w:val="24"/>
                <w:szCs w:val="24"/>
              </w:rPr>
            </w:pPr>
          </w:p>
        </w:tc>
      </w:tr>
    </w:tbl>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注：本表已列项须逐项说明，其余项可由响应单位根据响应文件情况自行扩展</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响应供应商全称（公章）：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 xml:space="preserve">法定代表人（授权代表）（签字或盖章）：            </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日    期：</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t>注：</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1 \* GB3</w:instrText>
      </w:r>
      <w:r>
        <w:rPr>
          <w:rFonts w:hint="eastAsia" w:ascii="楷体" w:hAnsi="楷体" w:eastAsia="楷体" w:cs="楷体"/>
          <w:sz w:val="24"/>
          <w:szCs w:val="24"/>
        </w:rPr>
        <w:fldChar w:fldCharType="separate"/>
      </w:r>
      <w:r>
        <w:rPr>
          <w:rFonts w:hint="eastAsia" w:ascii="楷体" w:hAnsi="楷体" w:eastAsia="楷体" w:cs="楷体"/>
          <w:sz w:val="24"/>
          <w:szCs w:val="24"/>
        </w:rPr>
        <w:t>①</w:t>
      </w:r>
      <w:r>
        <w:rPr>
          <w:rFonts w:hint="eastAsia" w:ascii="楷体" w:hAnsi="楷体" w:eastAsia="楷体" w:cs="楷体"/>
          <w:sz w:val="24"/>
          <w:szCs w:val="24"/>
        </w:rPr>
        <w:fldChar w:fldCharType="end"/>
      </w:r>
      <w:r>
        <w:rPr>
          <w:rFonts w:hint="eastAsia" w:ascii="楷体" w:hAnsi="楷体" w:eastAsia="楷体" w:cs="楷体"/>
          <w:sz w:val="24"/>
          <w:szCs w:val="24"/>
        </w:rPr>
        <w:t>此表为表样，行数可自行添加，但表式不变。</w:t>
      </w:r>
    </w:p>
    <w:p>
      <w:pPr>
        <w:adjustRightInd w:val="0"/>
        <w:snapToGrid w:val="0"/>
        <w:spacing w:line="360" w:lineRule="auto"/>
        <w:rPr>
          <w:rFonts w:hint="eastAsia" w:ascii="楷体" w:hAnsi="楷体" w:eastAsia="楷体" w:cs="楷体"/>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2 \* GB3</w:instrText>
      </w:r>
      <w:r>
        <w:rPr>
          <w:rFonts w:hint="eastAsia" w:ascii="楷体" w:hAnsi="楷体" w:eastAsia="楷体" w:cs="楷体"/>
          <w:sz w:val="24"/>
          <w:szCs w:val="24"/>
        </w:rPr>
        <w:fldChar w:fldCharType="separate"/>
      </w:r>
      <w:r>
        <w:rPr>
          <w:rFonts w:hint="eastAsia" w:ascii="楷体" w:hAnsi="楷体" w:eastAsia="楷体" w:cs="楷体"/>
          <w:sz w:val="24"/>
          <w:szCs w:val="24"/>
        </w:rPr>
        <w:t>②</w:t>
      </w:r>
      <w:r>
        <w:rPr>
          <w:rFonts w:hint="eastAsia" w:ascii="楷体" w:hAnsi="楷体" w:eastAsia="楷体" w:cs="楷体"/>
          <w:sz w:val="24"/>
          <w:szCs w:val="24"/>
        </w:rPr>
        <w:fldChar w:fldCharType="end"/>
      </w:r>
      <w:r>
        <w:rPr>
          <w:rFonts w:hint="eastAsia" w:ascii="楷体" w:hAnsi="楷体" w:eastAsia="楷体" w:cs="楷体"/>
          <w:sz w:val="24"/>
          <w:szCs w:val="24"/>
        </w:rPr>
        <w:t>是否偏离用符号“+、=、-”分别表示正偏离、完全响应、负偏离。</w:t>
      </w:r>
    </w:p>
    <w:p>
      <w:pPr>
        <w:adjustRightInd w:val="0"/>
        <w:snapToGrid w:val="0"/>
        <w:spacing w:line="360" w:lineRule="auto"/>
        <w:rPr>
          <w:rFonts w:ascii="仿宋" w:hAnsi="仿宋" w:eastAsia="仿宋" w:cs="仿宋"/>
          <w:color w:val="000000"/>
          <w:sz w:val="24"/>
          <w:szCs w:val="24"/>
        </w:rPr>
      </w:pPr>
      <w:r>
        <w:rPr>
          <w:rFonts w:hint="eastAsia" w:ascii="楷体" w:hAnsi="楷体" w:eastAsia="楷体" w:cs="楷体"/>
          <w:sz w:val="24"/>
          <w:szCs w:val="24"/>
        </w:rPr>
        <w:fldChar w:fldCharType="begin"/>
      </w:r>
      <w:r>
        <w:rPr>
          <w:rFonts w:hint="eastAsia" w:ascii="楷体" w:hAnsi="楷体" w:eastAsia="楷体" w:cs="楷体"/>
          <w:sz w:val="24"/>
          <w:szCs w:val="24"/>
        </w:rPr>
        <w:instrText xml:space="preserve">= 3 \* GB3</w:instrText>
      </w:r>
      <w:r>
        <w:rPr>
          <w:rFonts w:hint="eastAsia" w:ascii="楷体" w:hAnsi="楷体" w:eastAsia="楷体" w:cs="楷体"/>
          <w:sz w:val="24"/>
          <w:szCs w:val="24"/>
        </w:rPr>
        <w:fldChar w:fldCharType="separate"/>
      </w:r>
      <w:r>
        <w:rPr>
          <w:rFonts w:hint="eastAsia" w:ascii="楷体" w:hAnsi="楷体" w:eastAsia="楷体" w:cs="楷体"/>
          <w:sz w:val="24"/>
          <w:szCs w:val="24"/>
        </w:rPr>
        <w:t>③</w:t>
      </w:r>
      <w:r>
        <w:rPr>
          <w:rFonts w:hint="eastAsia" w:ascii="楷体" w:hAnsi="楷体" w:eastAsia="楷体" w:cs="楷体"/>
          <w:sz w:val="24"/>
          <w:szCs w:val="24"/>
        </w:rPr>
        <w:fldChar w:fldCharType="end"/>
      </w:r>
      <w:r>
        <w:rPr>
          <w:rFonts w:hint="eastAsia" w:ascii="楷体" w:hAnsi="楷体" w:eastAsia="楷体" w:cs="楷体"/>
          <w:sz w:val="24"/>
          <w:szCs w:val="24"/>
        </w:rPr>
        <w:t>响应单位必须仔细阅读本磋商文件所有服务要求，并对具体服务响应出现正负偏离的条目列入上表。响应单位必须根据所投服务的实际情况如实填写，评委会如发现有虚假描述的，该响应文件视为无效。</w:t>
      </w:r>
    </w:p>
    <w:p>
      <w:pPr>
        <w:pStyle w:val="4"/>
        <w:bidi w:val="0"/>
        <w:jc w:val="center"/>
        <w:rPr>
          <w:rFonts w:hint="eastAsia" w:ascii="Arial" w:hAnsi="Arial"/>
          <w:b/>
        </w:rPr>
      </w:pPr>
      <w:bookmarkStart w:id="101" w:name="_Toc27516"/>
      <w:bookmarkStart w:id="102" w:name="_Toc25918"/>
      <w:r>
        <w:rPr>
          <w:rFonts w:hint="eastAsia" w:ascii="Arial" w:hAnsi="Arial"/>
          <w:b/>
        </w:rPr>
        <w:t>四、服务方案</w:t>
      </w:r>
      <w:bookmarkEnd w:id="101"/>
      <w:bookmarkEnd w:id="102"/>
    </w:p>
    <w:p>
      <w:pPr>
        <w:jc w:val="center"/>
        <w:rPr>
          <w:rFonts w:hint="eastAsia" w:ascii="楷体" w:hAnsi="楷体" w:eastAsia="楷体" w:cs="楷体"/>
          <w:b/>
          <w:sz w:val="24"/>
        </w:rPr>
      </w:pPr>
      <w:r>
        <w:rPr>
          <w:rFonts w:hint="eastAsia" w:ascii="楷体" w:hAnsi="楷体" w:eastAsia="楷体" w:cs="楷体"/>
          <w:b/>
          <w:sz w:val="24"/>
        </w:rPr>
        <w:t>（格式自定）</w:t>
      </w:r>
    </w:p>
    <w:bookmarkEnd w:id="97"/>
    <w:bookmarkEnd w:id="98"/>
    <w:bookmarkEnd w:id="99"/>
    <w:bookmarkEnd w:id="100"/>
    <w:p>
      <w:pPr>
        <w:pStyle w:val="24"/>
        <w:numPr>
          <w:ilvl w:val="0"/>
          <w:numId w:val="0"/>
        </w:numPr>
        <w:jc w:val="center"/>
        <w:rPr>
          <w:rFonts w:hint="eastAsia" w:ascii="楷体" w:hAnsi="楷体" w:eastAsia="楷体" w:cs="楷体"/>
        </w:rPr>
      </w:pPr>
      <w:bookmarkStart w:id="103" w:name="_Toc32325"/>
      <w:bookmarkStart w:id="104" w:name="_Toc25230"/>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p>
      <w:pPr>
        <w:pStyle w:val="24"/>
        <w:numPr>
          <w:ilvl w:val="0"/>
          <w:numId w:val="0"/>
        </w:numPr>
        <w:jc w:val="center"/>
        <w:rPr>
          <w:rFonts w:hint="eastAsia" w:ascii="楷体" w:hAnsi="楷体" w:eastAsia="楷体" w:cs="楷体"/>
        </w:rPr>
      </w:pPr>
    </w:p>
    <w:bookmarkEnd w:id="103"/>
    <w:bookmarkEnd w:id="104"/>
    <w:p>
      <w:pPr>
        <w:pStyle w:val="4"/>
        <w:bidi w:val="0"/>
        <w:jc w:val="center"/>
        <w:rPr>
          <w:rFonts w:hint="eastAsia" w:ascii="Arial" w:hAnsi="Arial"/>
          <w:b/>
        </w:rPr>
      </w:pPr>
      <w:bookmarkStart w:id="105" w:name="_Toc25699"/>
      <w:bookmarkStart w:id="106" w:name="_Toc5890"/>
      <w:bookmarkStart w:id="107" w:name="_Toc21836"/>
      <w:bookmarkStart w:id="108" w:name="_Toc26771"/>
      <w:r>
        <w:rPr>
          <w:rFonts w:hint="eastAsia" w:ascii="Arial" w:hAnsi="Arial"/>
          <w:b/>
        </w:rPr>
        <w:t>五、企业资质</w:t>
      </w:r>
      <w:bookmarkEnd w:id="105"/>
      <w:bookmarkEnd w:id="106"/>
      <w:bookmarkEnd w:id="107"/>
      <w:bookmarkEnd w:id="108"/>
    </w:p>
    <w:p>
      <w:pPr>
        <w:jc w:val="center"/>
        <w:rPr>
          <w:rFonts w:ascii="仿宋" w:hAnsi="仿宋" w:eastAsia="仿宋" w:cs="宋体"/>
          <w:b/>
          <w:color w:val="000000"/>
          <w:kern w:val="0"/>
          <w:sz w:val="24"/>
          <w:szCs w:val="24"/>
        </w:rPr>
      </w:pPr>
    </w:p>
    <w:tbl>
      <w:tblPr>
        <w:tblStyle w:val="1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2580"/>
        <w:gridCol w:w="3176"/>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序号</w:t>
            </w:r>
          </w:p>
        </w:tc>
        <w:tc>
          <w:tcPr>
            <w:tcW w:w="2580" w:type="dxa"/>
            <w:noWrap w:val="0"/>
            <w:vAlign w:val="center"/>
          </w:tcPr>
          <w:p>
            <w:pPr>
              <w:ind w:firstLine="240" w:firstLineChars="100"/>
              <w:jc w:val="center"/>
              <w:rPr>
                <w:rFonts w:ascii="仿宋" w:hAnsi="仿宋" w:eastAsia="仿宋" w:cs="仿宋"/>
                <w:color w:val="000000"/>
                <w:sz w:val="24"/>
                <w:szCs w:val="24"/>
              </w:rPr>
            </w:pPr>
            <w:r>
              <w:rPr>
                <w:rFonts w:hint="eastAsia" w:ascii="仿宋" w:hAnsi="仿宋" w:eastAsia="仿宋" w:cs="仿宋"/>
                <w:color w:val="000000"/>
                <w:sz w:val="24"/>
                <w:szCs w:val="24"/>
              </w:rPr>
              <w:t>资质名称</w:t>
            </w:r>
          </w:p>
        </w:tc>
        <w:tc>
          <w:tcPr>
            <w:tcW w:w="3176"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材料复印件页码位置</w:t>
            </w:r>
          </w:p>
        </w:tc>
        <w:tc>
          <w:tcPr>
            <w:tcW w:w="1800"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1</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2</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3</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4</w:t>
            </w:r>
          </w:p>
        </w:tc>
        <w:tc>
          <w:tcPr>
            <w:tcW w:w="2580" w:type="dxa"/>
            <w:noWrap w:val="0"/>
            <w:vAlign w:val="center"/>
          </w:tcPr>
          <w:p>
            <w:pPr>
              <w:jc w:val="center"/>
              <w:rPr>
                <w:rFonts w:ascii="仿宋" w:hAnsi="仿宋" w:eastAsia="仿宋" w:cs="仿宋"/>
                <w:kern w:val="0"/>
                <w:sz w:val="24"/>
                <w:szCs w:val="24"/>
              </w:rPr>
            </w:pP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trPr>
        <w:tc>
          <w:tcPr>
            <w:tcW w:w="818" w:type="dxa"/>
            <w:noWrap w:val="0"/>
            <w:vAlign w:val="center"/>
          </w:tcPr>
          <w:p>
            <w:pPr>
              <w:jc w:val="center"/>
              <w:rPr>
                <w:rFonts w:ascii="仿宋" w:hAnsi="仿宋" w:eastAsia="仿宋" w:cs="仿宋"/>
                <w:color w:val="000000"/>
                <w:sz w:val="24"/>
                <w:szCs w:val="24"/>
              </w:rPr>
            </w:pPr>
            <w:r>
              <w:rPr>
                <w:rFonts w:hint="eastAsia" w:ascii="仿宋" w:hAnsi="仿宋" w:eastAsia="仿宋" w:cs="仿宋"/>
                <w:color w:val="000000"/>
                <w:sz w:val="24"/>
                <w:szCs w:val="24"/>
              </w:rPr>
              <w:t>5</w:t>
            </w:r>
          </w:p>
        </w:tc>
        <w:tc>
          <w:tcPr>
            <w:tcW w:w="2580" w:type="dxa"/>
            <w:noWrap w:val="0"/>
            <w:vAlign w:val="center"/>
          </w:tcPr>
          <w:p>
            <w:pPr>
              <w:jc w:val="center"/>
              <w:rPr>
                <w:rFonts w:ascii="仿宋" w:hAnsi="仿宋" w:eastAsia="仿宋" w:cs="仿宋"/>
                <w:color w:val="FF0000"/>
                <w:sz w:val="24"/>
                <w:szCs w:val="24"/>
              </w:rPr>
            </w:pPr>
            <w:r>
              <w:rPr>
                <w:rFonts w:hint="eastAsia" w:ascii="仿宋" w:hAnsi="仿宋" w:eastAsia="仿宋" w:cs="仿宋"/>
                <w:sz w:val="24"/>
                <w:szCs w:val="24"/>
              </w:rPr>
              <w:t>...</w:t>
            </w:r>
          </w:p>
        </w:tc>
        <w:tc>
          <w:tcPr>
            <w:tcW w:w="3176" w:type="dxa"/>
            <w:noWrap w:val="0"/>
            <w:vAlign w:val="top"/>
          </w:tcPr>
          <w:p>
            <w:pPr>
              <w:jc w:val="center"/>
              <w:rPr>
                <w:rFonts w:ascii="仿宋" w:hAnsi="仿宋" w:eastAsia="仿宋" w:cs="仿宋"/>
                <w:color w:val="000000"/>
                <w:sz w:val="24"/>
                <w:szCs w:val="24"/>
              </w:rPr>
            </w:pPr>
          </w:p>
        </w:tc>
        <w:tc>
          <w:tcPr>
            <w:tcW w:w="1800" w:type="dxa"/>
            <w:noWrap w:val="0"/>
            <w:vAlign w:val="top"/>
          </w:tcPr>
          <w:p>
            <w:pPr>
              <w:jc w:val="center"/>
              <w:rPr>
                <w:rFonts w:ascii="仿宋" w:hAnsi="仿宋" w:eastAsia="仿宋" w:cs="仿宋"/>
                <w:color w:val="000000"/>
                <w:sz w:val="24"/>
                <w:szCs w:val="24"/>
              </w:rPr>
            </w:pPr>
          </w:p>
        </w:tc>
      </w:tr>
    </w:tbl>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 xml:space="preserve">响应供应商全称（公章）：                        </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法定代表人（授权代表）（签字或盖章）：</w:t>
      </w:r>
    </w:p>
    <w:p>
      <w:pPr>
        <w:widowControl/>
        <w:topLinePunct/>
        <w:snapToGrid w:val="0"/>
        <w:spacing w:line="360" w:lineRule="auto"/>
        <w:rPr>
          <w:rFonts w:ascii="仿宋" w:hAnsi="仿宋" w:eastAsia="仿宋" w:cs="仿宋"/>
          <w:color w:val="000000"/>
          <w:sz w:val="24"/>
          <w:szCs w:val="24"/>
        </w:rPr>
      </w:pPr>
      <w:r>
        <w:rPr>
          <w:rFonts w:hint="eastAsia" w:ascii="仿宋" w:hAnsi="仿宋" w:eastAsia="仿宋" w:cs="仿宋"/>
          <w:color w:val="000000"/>
          <w:sz w:val="24"/>
          <w:szCs w:val="24"/>
        </w:rPr>
        <w:t>日期：</w:t>
      </w: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pStyle w:val="24"/>
        <w:numPr>
          <w:ilvl w:val="0"/>
          <w:numId w:val="0"/>
        </w:numPr>
        <w:rPr>
          <w:rFonts w:hint="eastAsia" w:ascii="楷体" w:hAnsi="楷体" w:eastAsia="楷体" w:cs="楷体"/>
        </w:rPr>
      </w:pPr>
    </w:p>
    <w:p>
      <w:pPr>
        <w:rPr>
          <w:rFonts w:hint="eastAsia"/>
        </w:rPr>
      </w:pPr>
    </w:p>
    <w:p>
      <w:pPr>
        <w:pStyle w:val="24"/>
        <w:numPr>
          <w:ilvl w:val="0"/>
          <w:numId w:val="0"/>
        </w:numPr>
        <w:rPr>
          <w:rFonts w:hint="eastAsia" w:ascii="楷体" w:hAnsi="楷体" w:eastAsia="楷体" w:cs="楷体"/>
        </w:rPr>
      </w:pPr>
    </w:p>
    <w:p>
      <w:pPr>
        <w:pStyle w:val="4"/>
        <w:bidi w:val="0"/>
        <w:jc w:val="center"/>
        <w:rPr>
          <w:rFonts w:hint="eastAsia" w:ascii="Arial" w:hAnsi="Arial"/>
          <w:b/>
          <w:lang w:val="en-US" w:eastAsia="zh-CN"/>
        </w:rPr>
      </w:pPr>
      <w:bookmarkStart w:id="109" w:name="_Toc20851"/>
      <w:bookmarkStart w:id="110" w:name="_Toc20453"/>
      <w:r>
        <w:rPr>
          <w:rFonts w:hint="eastAsia" w:ascii="Arial" w:hAnsi="Arial"/>
          <w:b/>
          <w:lang w:val="en-US" w:eastAsia="zh-CN"/>
        </w:rPr>
        <w:t>六、合同条款及格式</w:t>
      </w:r>
      <w:bookmarkEnd w:id="109"/>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甲方:</w:t>
      </w:r>
      <w:bookmarkStart w:id="111" w:name="purchase_name"/>
      <w:bookmarkEnd w:id="111"/>
      <w:r>
        <w:rPr>
          <w:rFonts w:hint="eastAsia" w:ascii="楷体" w:hAnsi="楷体" w:eastAsia="楷体" w:cs="楷体"/>
          <w:sz w:val="24"/>
          <w:szCs w:val="24"/>
        </w:rPr>
        <w:t>南京交通职业技术学院</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 xml:space="preserve">乙方: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宋体" w:hAnsi="宋体"/>
          <w:sz w:val="24"/>
        </w:rPr>
      </w:pPr>
      <w:r>
        <w:rPr>
          <w:rFonts w:hint="eastAsia" w:ascii="楷体" w:hAnsi="楷体" w:eastAsia="楷体" w:cs="楷体"/>
          <w:sz w:val="24"/>
          <w:szCs w:val="24"/>
        </w:rPr>
        <w:t>甲乙双方根据</w:t>
      </w:r>
      <w:r>
        <w:rPr>
          <w:rFonts w:hint="eastAsia" w:ascii="楷体" w:hAnsi="楷体" w:eastAsia="楷体" w:cs="楷体"/>
          <w:sz w:val="24"/>
          <w:szCs w:val="24"/>
          <w:lang w:val="en-US" w:eastAsia="zh-CN"/>
        </w:rPr>
        <w:t xml:space="preserve"> </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年</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月</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日（采购编号：</w:t>
      </w:r>
      <w:r>
        <w:rPr>
          <w:rFonts w:hint="eastAsia" w:ascii="楷体" w:hAnsi="楷体" w:eastAsia="楷体" w:cs="楷体"/>
          <w:sz w:val="24"/>
          <w:szCs w:val="24"/>
          <w:lang w:eastAsia="zh-CN"/>
        </w:rPr>
        <w:t>JY20200</w:t>
      </w:r>
      <w:r>
        <w:rPr>
          <w:rFonts w:hint="eastAsia" w:ascii="楷体" w:hAnsi="楷体" w:eastAsia="楷体" w:cs="楷体"/>
          <w:sz w:val="24"/>
          <w:szCs w:val="24"/>
          <w:lang w:val="en-US" w:eastAsia="zh-CN"/>
        </w:rPr>
        <w:t>72</w:t>
      </w:r>
      <w:r>
        <w:rPr>
          <w:rFonts w:hint="eastAsia" w:ascii="楷体" w:hAnsi="楷体" w:eastAsia="楷体" w:cs="楷体"/>
          <w:sz w:val="24"/>
          <w:szCs w:val="24"/>
        </w:rPr>
        <w:t>）南京交通职业技术学院</w:t>
      </w:r>
      <w:r>
        <w:rPr>
          <w:rFonts w:hint="eastAsia" w:ascii="楷体" w:hAnsi="楷体" w:eastAsia="楷体" w:cs="楷体"/>
          <w:sz w:val="24"/>
          <w:szCs w:val="24"/>
          <w:lang w:eastAsia="zh-CN"/>
        </w:rPr>
        <w:t>学校网络建设项目监理</w:t>
      </w:r>
      <w:r>
        <w:rPr>
          <w:rFonts w:hint="eastAsia" w:ascii="楷体" w:hAnsi="楷体" w:eastAsia="楷体" w:cs="楷体"/>
          <w:sz w:val="24"/>
          <w:szCs w:val="24"/>
        </w:rPr>
        <w:t>项目采购结果及磋商文件的要求,经协商一致,达成如下购销合同: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黑体" w:hAnsi="黑体" w:eastAsia="黑体" w:cs="黑体"/>
          <w:b/>
          <w:bCs/>
          <w:sz w:val="24"/>
          <w:lang w:eastAsia="zh-CN"/>
        </w:rPr>
      </w:pPr>
      <w:r>
        <w:rPr>
          <w:rFonts w:hint="eastAsia" w:ascii="黑体" w:hAnsi="黑体" w:eastAsia="黑体" w:cs="黑体"/>
          <w:sz w:val="24"/>
        </w:rPr>
        <w:t>一、</w:t>
      </w:r>
      <w:r>
        <w:rPr>
          <w:rFonts w:hint="eastAsia" w:ascii="黑体" w:hAnsi="黑体" w:eastAsia="黑体" w:cs="黑体"/>
          <w:b/>
          <w:bCs/>
          <w:sz w:val="24"/>
        </w:rPr>
        <w:t>采购标的</w:t>
      </w:r>
      <w:r>
        <w:rPr>
          <w:rFonts w:hint="eastAsia" w:ascii="黑体" w:hAnsi="黑体" w:eastAsia="黑体" w:cs="黑体"/>
          <w:b/>
          <w:bCs/>
          <w:sz w:val="24"/>
          <w:lang w:eastAsia="zh-CN"/>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 xml:space="preserve">1、项目名称：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仿宋" w:hAnsi="仿宋" w:eastAsia="仿宋" w:cs="仿宋"/>
          <w:sz w:val="24"/>
        </w:rPr>
      </w:pPr>
      <w:r>
        <w:rPr>
          <w:rFonts w:hint="eastAsia" w:ascii="楷体" w:hAnsi="楷体" w:eastAsia="楷体" w:cs="楷体"/>
          <w:sz w:val="24"/>
          <w:szCs w:val="24"/>
        </w:rPr>
        <w:t>2、服务内容：参照磋商文件的具体要求</w:t>
      </w:r>
      <w:r>
        <w:rPr>
          <w:rFonts w:hint="eastAsia" w:ascii="仿宋" w:hAnsi="仿宋" w:eastAsia="仿宋" w:cs="仿宋"/>
          <w:sz w:val="24"/>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仿宋" w:hAnsi="仿宋" w:eastAsia="仿宋" w:cs="仿宋"/>
          <w:sz w:val="24"/>
          <w:highlight w:val="yellow"/>
        </w:rPr>
      </w:pPr>
      <w:r>
        <w:rPr>
          <w:rFonts w:hint="eastAsia" w:ascii="黑体" w:hAnsi="黑体" w:eastAsia="黑体" w:cs="黑体"/>
          <w:b/>
          <w:bCs/>
          <w:sz w:val="24"/>
        </w:rPr>
        <w:t>二、服务期限：</w:t>
      </w:r>
    </w:p>
    <w:p>
      <w:pPr>
        <w:keepNext w:val="0"/>
        <w:keepLines w:val="0"/>
        <w:pageBreakBefore w:val="0"/>
        <w:widowControl/>
        <w:numPr>
          <w:ilvl w:val="0"/>
          <w:numId w:val="4"/>
        </w:numPr>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服务价格：</w:t>
      </w:r>
    </w:p>
    <w:p>
      <w:pPr>
        <w:keepNext w:val="0"/>
        <w:keepLines w:val="0"/>
        <w:pageBreakBefore w:val="0"/>
        <w:widowControl/>
        <w:numPr>
          <w:ilvl w:val="0"/>
          <w:numId w:val="4"/>
        </w:numPr>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合同履行：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黑体" w:hAnsi="黑体" w:eastAsia="黑体" w:cs="黑体"/>
          <w:b/>
          <w:bCs/>
          <w:sz w:val="24"/>
        </w:rPr>
      </w:pPr>
      <w:r>
        <w:rPr>
          <w:rFonts w:hint="eastAsia" w:ascii="黑体" w:hAnsi="黑体" w:eastAsia="黑体" w:cs="黑体"/>
          <w:b/>
          <w:bCs/>
          <w:sz w:val="24"/>
        </w:rPr>
        <w:t>五、履约保证金：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1、乙方在签订本合同时其投标保证金自动转为履约保证金。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2、履约保证金的有效期为该项目免费维护期满时止。</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3、如乙方未能履行合同规定的义务，甲方有权从履约保证金中取得补偿。</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lang w:eastAsia="zh-CN"/>
        </w:rPr>
      </w:pPr>
      <w:r>
        <w:rPr>
          <w:rFonts w:hint="eastAsia" w:ascii="楷体" w:hAnsi="楷体" w:eastAsia="楷体" w:cs="楷体"/>
          <w:sz w:val="24"/>
          <w:szCs w:val="24"/>
        </w:rPr>
        <w:t>4、履约保证金扣除甲方应得的补偿后的余额在有效期满后七个工作日内无息退还给乙方</w:t>
      </w:r>
      <w:r>
        <w:rPr>
          <w:rFonts w:hint="eastAsia" w:ascii="楷体" w:hAnsi="楷体" w:eastAsia="楷体" w:cs="楷体"/>
          <w:sz w:val="24"/>
          <w:szCs w:val="24"/>
          <w:lang w:eastAsia="zh-CN"/>
        </w:rPr>
        <w:t>。</w:t>
      </w:r>
    </w:p>
    <w:p>
      <w:pPr>
        <w:keepNext w:val="0"/>
        <w:keepLines w:val="0"/>
        <w:pageBreakBefore w:val="0"/>
        <w:kinsoku/>
        <w:wordWrap/>
        <w:overflowPunct/>
        <w:topLinePunct w:val="0"/>
        <w:autoSpaceDE/>
        <w:autoSpaceDN/>
        <w:bidi w:val="0"/>
        <w:adjustRightInd/>
        <w:spacing w:line="240" w:lineRule="auto"/>
        <w:textAlignment w:val="auto"/>
        <w:rPr>
          <w:rFonts w:ascii="仿宋" w:hAnsi="仿宋" w:eastAsia="仿宋" w:cs="仿宋"/>
          <w:sz w:val="24"/>
        </w:rPr>
      </w:pPr>
      <w:r>
        <w:rPr>
          <w:rFonts w:hint="eastAsia" w:ascii="黑体" w:hAnsi="黑体" w:eastAsia="黑体" w:cs="黑体"/>
          <w:b/>
          <w:bCs/>
          <w:sz w:val="24"/>
        </w:rPr>
        <w:t>六、付款</w:t>
      </w:r>
      <w:r>
        <w:rPr>
          <w:rFonts w:hint="eastAsia" w:ascii="黑体" w:hAnsi="黑体" w:eastAsia="黑体" w:cs="黑体"/>
          <w:sz w:val="24"/>
        </w:rPr>
        <w:t>：</w:t>
      </w:r>
      <w:r>
        <w:rPr>
          <w:rFonts w:ascii="仿宋" w:hAnsi="仿宋" w:eastAsia="仿宋" w:cs="仿宋"/>
          <w:sz w:val="24"/>
        </w:rPr>
        <w:t xml:space="preserve"> </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自合同签订后、</w:t>
      </w:r>
      <w:r>
        <w:rPr>
          <w:rFonts w:hint="eastAsia" w:ascii="楷体" w:hAnsi="楷体" w:eastAsia="楷体" w:cs="楷体"/>
          <w:b/>
          <w:bCs/>
          <w:sz w:val="24"/>
          <w:szCs w:val="24"/>
          <w:lang w:eastAsia="zh-CN"/>
        </w:rPr>
        <w:t>学校网络建设项目监理</w:t>
      </w:r>
      <w:r>
        <w:rPr>
          <w:rFonts w:hint="eastAsia" w:ascii="楷体" w:hAnsi="楷体" w:eastAsia="楷体" w:cs="楷体"/>
          <w:b/>
          <w:bCs/>
          <w:sz w:val="24"/>
          <w:szCs w:val="24"/>
        </w:rPr>
        <w:t>项目</w:t>
      </w:r>
      <w:r>
        <w:rPr>
          <w:rFonts w:hint="eastAsia" w:ascii="楷体" w:hAnsi="楷体" w:eastAsia="楷体" w:cs="楷体"/>
          <w:sz w:val="24"/>
          <w:szCs w:val="24"/>
        </w:rPr>
        <w:t>结束时启动付款程序，具体如下：</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1、经甲方验收合格并签署维修保养记录后，由乙方开具发票向甲方进行请款，甲方核对无误将年保养费用总额的</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%，即人民币</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元付至乙方指定帐户；</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移机费及更换材料费由乙方向甲方提出结算申请。乙方提供经甲方使用部门确认的移机清单、更换材料费用清单及其他原始单据凭证，甲方按照实际发生数量核算无误后给乙方结算。乙方开具相关发票后，甲方按时付款。</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七、违约责任</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1、甲方未按合同规定的期限向乙方支付合同款的，每逾期1天甲方向乙方偿付欠款总额的5‰滞纳金，但累计滞纳金总额不超过欠款总额的5％。</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2、如乙方不能按照规定要求完成服务，甲方有权暂扣合同款直至完成服务；同时乙方应向甲方支付合同总价5％的违约金。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3、乙方所提供的服务不符合合同规定的，甲方有权拒付合同款。</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4、乙方虚假承诺，或经权威部门监测不能满足文件要求，或是由于乙方的过错造成合同无法继续履行的，除扣除未完成的服务合同款外，还应向甲方支付不少于合同总价30％赔偿金。</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黑体" w:hAnsi="黑体" w:eastAsia="黑体" w:cs="黑体"/>
          <w:b/>
          <w:sz w:val="24"/>
          <w:lang w:val="zh-CN"/>
        </w:rPr>
        <w:t>八、合同纠纷处理：</w:t>
      </w:r>
      <w:r>
        <w:rPr>
          <w:rFonts w:hint="eastAsia" w:ascii="楷体" w:hAnsi="楷体" w:eastAsia="楷体" w:cs="楷体"/>
          <w:sz w:val="24"/>
          <w:szCs w:val="24"/>
        </w:rPr>
        <w:t>本合同执行过程中发生纠纷，由甲乙双方协商解决，若协商不成，作如下</w:t>
      </w:r>
      <w:r>
        <w:rPr>
          <w:rFonts w:hint="eastAsia" w:ascii="楷体" w:hAnsi="楷体" w:eastAsia="楷体" w:cs="楷体"/>
          <w:sz w:val="24"/>
          <w:szCs w:val="24"/>
          <w:lang w:val="en-US" w:eastAsia="zh-CN"/>
        </w:rPr>
        <w:t xml:space="preserve"> </w:t>
      </w:r>
      <w:r>
        <w:rPr>
          <w:rFonts w:hint="eastAsia" w:ascii="楷体" w:hAnsi="楷体" w:eastAsia="楷体" w:cs="楷体"/>
          <w:sz w:val="24"/>
          <w:szCs w:val="24"/>
          <w:u w:val="single"/>
          <w:lang w:val="en-US" w:eastAsia="zh-CN"/>
        </w:rPr>
        <w:t xml:space="preserve">    </w:t>
      </w:r>
      <w:r>
        <w:rPr>
          <w:rFonts w:hint="eastAsia" w:ascii="楷体" w:hAnsi="楷体" w:eastAsia="楷体" w:cs="楷体"/>
          <w:sz w:val="24"/>
          <w:szCs w:val="24"/>
        </w:rPr>
        <w:t>处理：</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1、申请仲裁。选定仲裁机构为江苏省仲裁委员会。</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ascii="宋体" w:hAnsi="宋体"/>
          <w:sz w:val="24"/>
        </w:rPr>
      </w:pPr>
      <w:r>
        <w:rPr>
          <w:rFonts w:hint="eastAsia" w:ascii="楷体" w:hAnsi="楷体" w:eastAsia="楷体" w:cs="楷体"/>
          <w:sz w:val="24"/>
          <w:szCs w:val="24"/>
        </w:rPr>
        <w:t>2、提起诉讼。约定由甲方所在地江苏省人民法院管辖。</w:t>
      </w:r>
    </w:p>
    <w:p>
      <w:pPr>
        <w:keepNext w:val="0"/>
        <w:keepLines w:val="0"/>
        <w:pageBreakBefore w:val="0"/>
        <w:kinsoku/>
        <w:wordWrap/>
        <w:overflowPunct/>
        <w:topLinePunct w:val="0"/>
        <w:autoSpaceDE/>
        <w:autoSpaceDN/>
        <w:bidi w:val="0"/>
        <w:adjustRightInd/>
        <w:spacing w:line="240" w:lineRule="auto"/>
        <w:textAlignment w:val="auto"/>
        <w:rPr>
          <w:rFonts w:ascii="仿宋" w:hAnsi="仿宋" w:eastAsia="仿宋" w:cs="仿宋"/>
          <w:sz w:val="24"/>
        </w:rPr>
      </w:pPr>
      <w:r>
        <w:rPr>
          <w:rFonts w:hint="eastAsia" w:ascii="黑体" w:hAnsi="黑体" w:eastAsia="黑体" w:cs="黑体"/>
          <w:b/>
          <w:sz w:val="24"/>
          <w:lang w:val="zh-CN"/>
        </w:rPr>
        <w:t>九、合同生效：</w:t>
      </w:r>
      <w:r>
        <w:rPr>
          <w:rFonts w:hint="eastAsia" w:ascii="楷体" w:hAnsi="楷体" w:eastAsia="楷体" w:cs="楷体"/>
          <w:sz w:val="24"/>
          <w:szCs w:val="24"/>
        </w:rPr>
        <w:t>本合同由甲乙双方签字盖章后生效。</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十、合同鉴证：</w:t>
      </w:r>
    </w:p>
    <w:p>
      <w:pPr>
        <w:keepNext w:val="0"/>
        <w:keepLines w:val="0"/>
        <w:pageBreakBefore w:val="0"/>
        <w:kinsoku/>
        <w:wordWrap/>
        <w:overflowPunct/>
        <w:topLinePunct w:val="0"/>
        <w:autoSpaceDE/>
        <w:autoSpaceDN/>
        <w:bidi w:val="0"/>
        <w:adjustRightInd/>
        <w:spacing w:line="240" w:lineRule="auto"/>
        <w:textAlignment w:val="auto"/>
        <w:rPr>
          <w:rFonts w:ascii="黑体" w:hAnsi="黑体" w:eastAsia="黑体" w:cs="黑体"/>
          <w:b/>
          <w:sz w:val="24"/>
          <w:lang w:val="zh-CN"/>
        </w:rPr>
      </w:pPr>
      <w:r>
        <w:rPr>
          <w:rFonts w:hint="eastAsia" w:ascii="黑体" w:hAnsi="黑体" w:eastAsia="黑体" w:cs="黑体"/>
          <w:b/>
          <w:sz w:val="24"/>
          <w:lang w:val="zh-CN"/>
        </w:rPr>
        <w:t>十一、组成本合同的文件包括：</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（一）合同通用条款及补充条款；</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（二）磋商文件和乙方的响应文件；</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（三）中标通知书；</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（四）甲乙双方商定的其他必要文件。</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上述合同文件内容互为补充，如有不明确，由甲方负责解释。</w:t>
      </w:r>
    </w:p>
    <w:p>
      <w:pPr>
        <w:keepNext w:val="0"/>
        <w:keepLines w:val="0"/>
        <w:pageBreakBefore w:val="0"/>
        <w:numPr>
          <w:ilvl w:val="0"/>
          <w:numId w:val="5"/>
        </w:numPr>
        <w:kinsoku/>
        <w:wordWrap/>
        <w:overflowPunct/>
        <w:topLinePunct w:val="0"/>
        <w:autoSpaceDE/>
        <w:autoSpaceDN/>
        <w:bidi w:val="0"/>
        <w:adjustRightInd/>
        <w:spacing w:line="240" w:lineRule="auto"/>
        <w:textAlignment w:val="auto"/>
        <w:rPr>
          <w:rFonts w:hint="eastAsia" w:ascii="黑体" w:hAnsi="黑体" w:eastAsia="黑体" w:cs="黑体"/>
          <w:b/>
          <w:sz w:val="24"/>
          <w:lang w:val="zh-CN"/>
        </w:rPr>
      </w:pPr>
      <w:r>
        <w:rPr>
          <w:rFonts w:hint="eastAsia" w:ascii="黑体" w:hAnsi="黑体" w:eastAsia="黑体" w:cs="黑体"/>
          <w:b/>
          <w:sz w:val="24"/>
          <w:lang w:val="zh-CN"/>
        </w:rPr>
        <w:t>合同备案：</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lang w:eastAsia="zh-CN"/>
        </w:rPr>
      </w:pPr>
      <w:r>
        <w:rPr>
          <w:rFonts w:hint="eastAsia" w:ascii="楷体" w:hAnsi="楷体" w:eastAsia="楷体" w:cs="楷体"/>
          <w:sz w:val="24"/>
          <w:szCs w:val="24"/>
        </w:rPr>
        <w:t>本合同一式</w:t>
      </w:r>
      <w:r>
        <w:rPr>
          <w:rFonts w:hint="eastAsia" w:ascii="楷体" w:hAnsi="楷体" w:eastAsia="楷体" w:cs="楷体"/>
          <w:sz w:val="24"/>
          <w:szCs w:val="24"/>
          <w:lang w:val="en-US" w:eastAsia="zh-CN"/>
        </w:rPr>
        <w:t>四</w:t>
      </w:r>
      <w:r>
        <w:rPr>
          <w:rFonts w:hint="eastAsia" w:ascii="楷体" w:hAnsi="楷体" w:eastAsia="楷体" w:cs="楷体"/>
          <w:sz w:val="24"/>
          <w:szCs w:val="24"/>
        </w:rPr>
        <w:t>份，中文书写。甲乙方各执</w:t>
      </w:r>
      <w:r>
        <w:rPr>
          <w:rFonts w:hint="eastAsia" w:ascii="楷体" w:hAnsi="楷体" w:eastAsia="楷体" w:cs="楷体"/>
          <w:sz w:val="24"/>
          <w:szCs w:val="24"/>
          <w:lang w:val="en-US" w:eastAsia="zh-CN"/>
        </w:rPr>
        <w:t>两</w:t>
      </w:r>
      <w:r>
        <w:rPr>
          <w:rFonts w:hint="eastAsia" w:ascii="楷体" w:hAnsi="楷体" w:eastAsia="楷体" w:cs="楷体"/>
          <w:sz w:val="24"/>
          <w:szCs w:val="24"/>
        </w:rPr>
        <w:t>份</w:t>
      </w:r>
      <w:r>
        <w:rPr>
          <w:rFonts w:hint="eastAsia" w:ascii="楷体" w:hAnsi="楷体" w:eastAsia="楷体" w:cs="楷体"/>
          <w:sz w:val="24"/>
          <w:szCs w:val="24"/>
          <w:lang w:eastAsia="zh-CN"/>
        </w:rPr>
        <w:t>。</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甲方：</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地址：</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法定（授权）代表人：</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二〇二〇年    月    日</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乙方：</w:t>
      </w:r>
      <w:bookmarkStart w:id="112" w:name="suppliers_name_one"/>
      <w:bookmarkEnd w:id="112"/>
      <w:r>
        <w:rPr>
          <w:rFonts w:hint="eastAsia" w:ascii="楷体" w:hAnsi="楷体" w:eastAsia="楷体" w:cs="楷体"/>
          <w:sz w:val="24"/>
          <w:szCs w:val="24"/>
        </w:rPr>
        <w:t>（盖章）</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地址：</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法定（授权）代表人：</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二〇二〇年  月   日</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户名：</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开户银行：</w:t>
      </w:r>
    </w:p>
    <w:p>
      <w:pPr>
        <w:keepNext w:val="0"/>
        <w:keepLines w:val="0"/>
        <w:pageBreakBefore w:val="0"/>
        <w:widowControl/>
        <w:kinsoku/>
        <w:wordWrap/>
        <w:overflowPunct/>
        <w:topLinePunct w:val="0"/>
        <w:autoSpaceDE/>
        <w:autoSpaceDN/>
        <w:bidi w:val="0"/>
        <w:adjustRightInd/>
        <w:snapToGrid w:val="0"/>
        <w:spacing w:before="19" w:line="240" w:lineRule="auto"/>
        <w:textAlignment w:val="auto"/>
        <w:rPr>
          <w:rFonts w:hint="eastAsia" w:ascii="楷体" w:hAnsi="楷体" w:eastAsia="楷体" w:cs="楷体"/>
          <w:sz w:val="24"/>
          <w:szCs w:val="24"/>
        </w:rPr>
      </w:pPr>
      <w:r>
        <w:rPr>
          <w:rFonts w:hint="eastAsia" w:ascii="楷体" w:hAnsi="楷体" w:eastAsia="楷体" w:cs="楷体"/>
          <w:sz w:val="24"/>
          <w:szCs w:val="24"/>
        </w:rPr>
        <w:t>账号：</w:t>
      </w:r>
    </w:p>
    <w:p>
      <w:pPr>
        <w:pStyle w:val="24"/>
        <w:numPr>
          <w:ilvl w:val="0"/>
          <w:numId w:val="0"/>
        </w:numPr>
        <w:ind w:leftChars="0"/>
        <w:rPr>
          <w:rFonts w:hint="eastAsia" w:ascii="楷体" w:hAnsi="楷体" w:eastAsia="楷体" w:cs="楷体"/>
        </w:rPr>
      </w:pPr>
    </w:p>
    <w:p>
      <w:pPr>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11"/>
        <w:rPr>
          <w:rFonts w:hint="eastAsia" w:ascii="楷体" w:hAnsi="楷体" w:eastAsia="楷体" w:cs="楷体"/>
        </w:rPr>
      </w:pPr>
    </w:p>
    <w:p>
      <w:pPr>
        <w:pStyle w:val="4"/>
        <w:bidi w:val="0"/>
        <w:jc w:val="center"/>
        <w:rPr>
          <w:rFonts w:hint="eastAsia" w:ascii="Arial" w:hAnsi="Arial"/>
          <w:b/>
        </w:rPr>
      </w:pPr>
      <w:bookmarkStart w:id="113" w:name="_Toc23738"/>
      <w:r>
        <w:rPr>
          <w:rFonts w:hint="eastAsia" w:ascii="Arial" w:hAnsi="Arial"/>
          <w:b/>
          <w:lang w:val="en-US" w:eastAsia="zh-CN"/>
        </w:rPr>
        <w:t>七、</w:t>
      </w:r>
      <w:r>
        <w:rPr>
          <w:rFonts w:hint="eastAsia" w:ascii="Arial" w:hAnsi="Arial"/>
          <w:b/>
        </w:rPr>
        <w:t>相关附表格式</w:t>
      </w:r>
      <w:bookmarkEnd w:id="89"/>
      <w:bookmarkEnd w:id="90"/>
      <w:bookmarkEnd w:id="91"/>
      <w:bookmarkEnd w:id="110"/>
      <w:bookmarkEnd w:id="113"/>
      <w:bookmarkStart w:id="114" w:name="_Toc30587"/>
    </w:p>
    <w:p>
      <w:pPr>
        <w:pStyle w:val="4"/>
        <w:bidi w:val="0"/>
        <w:jc w:val="center"/>
        <w:rPr>
          <w:rFonts w:hint="eastAsia" w:ascii="Arial" w:hAnsi="Arial"/>
          <w:b/>
        </w:rPr>
      </w:pPr>
      <w:bookmarkStart w:id="115" w:name="_Toc13019"/>
      <w:bookmarkStart w:id="116" w:name="_Toc19874"/>
      <w:bookmarkStart w:id="117" w:name="_Toc28944"/>
      <w:r>
        <w:rPr>
          <w:rFonts w:hint="eastAsia" w:ascii="Arial" w:hAnsi="Arial"/>
          <w:b/>
        </w:rPr>
        <w:t>附 件1：法人授权委托书</w:t>
      </w:r>
      <w:bookmarkEnd w:id="114"/>
      <w:bookmarkEnd w:id="115"/>
      <w:bookmarkEnd w:id="116"/>
      <w:bookmarkEnd w:id="117"/>
    </w:p>
    <w:p>
      <w:pPr>
        <w:spacing w:line="360" w:lineRule="auto"/>
        <w:rPr>
          <w:rFonts w:ascii="楷体" w:hAnsi="楷体" w:eastAsia="楷体" w:cs="楷体"/>
          <w:sz w:val="24"/>
          <w:szCs w:val="24"/>
        </w:rPr>
      </w:pPr>
      <w:r>
        <w:rPr>
          <w:rFonts w:hint="eastAsia" w:ascii="楷体" w:hAnsi="楷体" w:eastAsia="楷体" w:cs="楷体"/>
          <w:sz w:val="24"/>
          <w:szCs w:val="24"/>
        </w:rPr>
        <w:t>南京交通职业技术学院：</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本授权书宣告：</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委托单位：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地    址：</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受托人：</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出生日期：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所在单位：</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职务：</w:t>
      </w:r>
      <w:r>
        <w:rPr>
          <w:rFonts w:hint="eastAsia" w:ascii="楷体" w:hAnsi="楷体" w:eastAsia="楷体" w:cs="楷体"/>
          <w:sz w:val="24"/>
          <w:szCs w:val="24"/>
          <w:u w:val="single"/>
        </w:rPr>
        <w:t xml:space="preserve">                    </w:t>
      </w:r>
    </w:p>
    <w:p>
      <w:pPr>
        <w:spacing w:line="360" w:lineRule="auto"/>
        <w:rPr>
          <w:rFonts w:ascii="楷体" w:hAnsi="楷体" w:eastAsia="楷体" w:cs="楷体"/>
          <w:sz w:val="24"/>
          <w:szCs w:val="24"/>
        </w:rPr>
      </w:pPr>
      <w:r>
        <w:rPr>
          <w:rFonts w:hint="eastAsia" w:ascii="楷体" w:hAnsi="楷体" w:eastAsia="楷体" w:cs="楷体"/>
          <w:sz w:val="24"/>
          <w:szCs w:val="24"/>
        </w:rPr>
        <w:t xml:space="preserve">   身 份 证：</w:t>
      </w:r>
      <w:r>
        <w:rPr>
          <w:rFonts w:hint="eastAsia" w:ascii="楷体" w:hAnsi="楷体" w:eastAsia="楷体" w:cs="楷体"/>
          <w:sz w:val="24"/>
          <w:szCs w:val="24"/>
          <w:u w:val="single"/>
        </w:rPr>
        <w:t xml:space="preserve">                  </w:t>
      </w:r>
      <w:r>
        <w:rPr>
          <w:rFonts w:hint="eastAsia" w:ascii="楷体" w:hAnsi="楷体" w:eastAsia="楷体" w:cs="楷体"/>
          <w:sz w:val="24"/>
          <w:szCs w:val="24"/>
        </w:rPr>
        <w:t xml:space="preserve">   联系方式: </w:t>
      </w:r>
      <w:r>
        <w:rPr>
          <w:rFonts w:hint="eastAsia" w:ascii="楷体" w:hAnsi="楷体" w:eastAsia="楷体" w:cs="楷体"/>
          <w:sz w:val="24"/>
          <w:szCs w:val="24"/>
          <w:u w:val="single"/>
        </w:rPr>
        <w:t xml:space="preserve">                     </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兹委托受托人合法地代表我单位参加南京交通职业技术学院组织的（采购编号为：</w:t>
      </w:r>
      <w:r>
        <w:rPr>
          <w:rFonts w:hint="eastAsia" w:ascii="楷体" w:hAnsi="楷体" w:eastAsia="楷体" w:cs="楷体"/>
          <w:b/>
          <w:bCs/>
          <w:sz w:val="24"/>
          <w:szCs w:val="24"/>
          <w:lang w:eastAsia="zh-CN"/>
        </w:rPr>
        <w:t>JY20200</w:t>
      </w:r>
      <w:r>
        <w:rPr>
          <w:rFonts w:hint="eastAsia" w:ascii="楷体" w:hAnsi="楷体" w:eastAsia="楷体" w:cs="楷体"/>
          <w:b/>
          <w:bCs/>
          <w:sz w:val="24"/>
          <w:szCs w:val="24"/>
          <w:lang w:val="en-US" w:eastAsia="zh-CN"/>
        </w:rPr>
        <w:t>72</w:t>
      </w:r>
      <w:r>
        <w:rPr>
          <w:rFonts w:hint="eastAsia" w:ascii="楷体" w:hAnsi="楷体" w:eastAsia="楷体" w:cs="楷体"/>
          <w:sz w:val="24"/>
          <w:szCs w:val="24"/>
        </w:rPr>
        <w:t xml:space="preserve">）南京交通职业技术学院 </w:t>
      </w:r>
      <w:r>
        <w:rPr>
          <w:rFonts w:hint="eastAsia" w:ascii="楷体" w:hAnsi="楷体" w:eastAsia="楷体" w:cs="楷体"/>
          <w:sz w:val="24"/>
          <w:szCs w:val="24"/>
          <w:lang w:eastAsia="zh-CN"/>
        </w:rPr>
        <w:t>学校网络建设项目监理</w:t>
      </w:r>
      <w:r>
        <w:rPr>
          <w:rFonts w:hint="eastAsia" w:ascii="楷体" w:hAnsi="楷体" w:eastAsia="楷体" w:cs="楷体"/>
          <w:sz w:val="24"/>
          <w:szCs w:val="24"/>
        </w:rPr>
        <w:t>项目的采购活动，受托人有权在该采购活动中，以我单位的名义签署磋商函和磋商响应文件，与采购人协商、澄清、解释，质疑，签订合同书并执行一切与此有关的事项。</w:t>
      </w:r>
    </w:p>
    <w:p>
      <w:pPr>
        <w:spacing w:line="360" w:lineRule="auto"/>
        <w:rPr>
          <w:rFonts w:ascii="楷体" w:hAnsi="楷体" w:eastAsia="楷体" w:cs="楷体"/>
          <w:sz w:val="24"/>
          <w:szCs w:val="24"/>
        </w:rPr>
      </w:pPr>
      <w:r>
        <w:rPr>
          <w:rFonts w:hint="eastAsia" w:ascii="楷体" w:hAnsi="楷体" w:eastAsia="楷体" w:cs="楷体"/>
          <w:sz w:val="24"/>
          <w:szCs w:val="24"/>
        </w:rPr>
        <w:t>受托人在办理上述事宜过程中以其自己的名义所签署的所有文件我均予以承认。受托人无转委托权。</w:t>
      </w:r>
    </w:p>
    <w:p>
      <w:pPr>
        <w:spacing w:line="360" w:lineRule="auto"/>
        <w:rPr>
          <w:rFonts w:ascii="楷体" w:hAnsi="楷体" w:eastAsia="楷体" w:cs="楷体"/>
          <w:sz w:val="24"/>
          <w:szCs w:val="24"/>
        </w:rPr>
      </w:pPr>
      <w:r>
        <w:rPr>
          <w:rFonts w:hint="eastAsia" w:ascii="楷体" w:hAnsi="楷体" w:eastAsia="楷体" w:cs="楷体"/>
          <w:sz w:val="24"/>
          <w:szCs w:val="24"/>
        </w:rPr>
        <w:t>委托期限：至上述事宜处理完毕止。</w:t>
      </w:r>
    </w:p>
    <w:p>
      <w:pPr>
        <w:spacing w:line="360" w:lineRule="auto"/>
        <w:jc w:val="left"/>
        <w:rPr>
          <w:rFonts w:hint="default" w:ascii="楷体" w:hAnsi="楷体" w:eastAsia="楷体" w:cs="楷体"/>
          <w:sz w:val="24"/>
          <w:szCs w:val="24"/>
          <w:lang w:val="en-US" w:eastAsia="zh-CN"/>
        </w:rPr>
      </w:pPr>
      <w:r>
        <w:rPr>
          <w:rFonts w:hint="eastAsia" w:ascii="楷体" w:hAnsi="楷体" w:eastAsia="楷体" w:cs="楷体"/>
          <w:sz w:val="24"/>
          <w:szCs w:val="24"/>
          <w:lang w:eastAsia="zh-CN"/>
        </w:rPr>
        <w:t>后附法人及授权委托人身份证明。</w:t>
      </w:r>
    </w:p>
    <w:p>
      <w:pPr>
        <w:spacing w:line="360" w:lineRule="auto"/>
        <w:jc w:val="center"/>
        <w:rPr>
          <w:rFonts w:ascii="楷体" w:hAnsi="楷体" w:eastAsia="楷体" w:cs="楷体"/>
          <w:sz w:val="24"/>
          <w:szCs w:val="24"/>
        </w:rPr>
      </w:pPr>
      <w:r>
        <w:rPr>
          <w:rFonts w:hint="eastAsia" w:ascii="楷体" w:hAnsi="楷体" w:eastAsia="楷体" w:cs="楷体"/>
          <w:sz w:val="24"/>
          <w:szCs w:val="24"/>
        </w:rPr>
        <w:t>委托单位   （公章）</w:t>
      </w:r>
    </w:p>
    <w:p>
      <w:pPr>
        <w:spacing w:line="360" w:lineRule="auto"/>
        <w:ind w:left="4080" w:hanging="4080" w:hangingChars="1700"/>
        <w:jc w:val="center"/>
        <w:rPr>
          <w:rFonts w:ascii="楷体" w:hAnsi="楷体" w:eastAsia="楷体" w:cs="楷体"/>
          <w:sz w:val="24"/>
          <w:szCs w:val="24"/>
        </w:rPr>
      </w:pPr>
      <w:r>
        <w:rPr>
          <w:rFonts w:hint="eastAsia" w:ascii="楷体" w:hAnsi="楷体" w:eastAsia="楷体" w:cs="楷体"/>
          <w:sz w:val="24"/>
          <w:szCs w:val="24"/>
        </w:rPr>
        <w:t xml:space="preserve">    法定代表人（签字或盖章）</w:t>
      </w:r>
    </w:p>
    <w:p>
      <w:pPr>
        <w:spacing w:line="360" w:lineRule="auto"/>
        <w:ind w:left="4080" w:hanging="4080" w:hangingChars="1700"/>
        <w:jc w:val="center"/>
        <w:rPr>
          <w:rFonts w:ascii="楷体" w:hAnsi="楷体" w:eastAsia="楷体" w:cs="楷体"/>
          <w:sz w:val="28"/>
          <w:szCs w:val="28"/>
        </w:rPr>
      </w:pPr>
      <w:r>
        <w:rPr>
          <w:rFonts w:hint="eastAsia" w:ascii="楷体" w:hAnsi="楷体" w:eastAsia="楷体" w:cs="楷体"/>
          <w:sz w:val="24"/>
          <w:szCs w:val="24"/>
        </w:rPr>
        <w:t>2020年  月  日</w:t>
      </w:r>
    </w:p>
    <w:p>
      <w:pPr>
        <w:spacing w:line="360" w:lineRule="auto"/>
        <w:rPr>
          <w:rFonts w:ascii="楷体" w:hAnsi="楷体" w:eastAsia="楷体" w:cs="楷体"/>
          <w:sz w:val="24"/>
          <w:szCs w:val="24"/>
        </w:rPr>
      </w:pPr>
      <w:r>
        <w:rPr>
          <w:rFonts w:hint="eastAsia" w:ascii="楷体" w:hAnsi="楷体" w:eastAsia="楷体" w:cs="楷体"/>
          <w:sz w:val="24"/>
          <w:szCs w:val="24"/>
        </w:rPr>
        <w:t>备注：</w:t>
      </w:r>
    </w:p>
    <w:p>
      <w:pPr>
        <w:spacing w:line="360" w:lineRule="auto"/>
        <w:rPr>
          <w:rFonts w:ascii="楷体" w:hAnsi="楷体" w:eastAsia="楷体" w:cs="楷体"/>
          <w:sz w:val="24"/>
          <w:szCs w:val="24"/>
        </w:rPr>
      </w:pPr>
      <w:r>
        <w:rPr>
          <w:rFonts w:hint="eastAsia" w:ascii="楷体" w:hAnsi="楷体" w:eastAsia="楷体" w:cs="楷体"/>
          <w:sz w:val="24"/>
          <w:szCs w:val="24"/>
        </w:rPr>
        <w:t>1、供应商授权代表须在响应文件递交截止时间前持授权书原件及授权代表身份证件办理签名报到。（投标文件中须附授权代表及法人的身份证复印件）</w:t>
      </w:r>
    </w:p>
    <w:p>
      <w:pPr>
        <w:spacing w:line="360" w:lineRule="auto"/>
        <w:rPr>
          <w:rFonts w:ascii="楷体" w:hAnsi="楷体" w:eastAsia="楷体" w:cs="楷体"/>
          <w:sz w:val="24"/>
          <w:szCs w:val="24"/>
        </w:rPr>
      </w:pPr>
      <w:r>
        <w:rPr>
          <w:rFonts w:hint="eastAsia" w:ascii="楷体" w:hAnsi="楷体" w:eastAsia="楷体" w:cs="楷体"/>
          <w:sz w:val="24"/>
          <w:szCs w:val="24"/>
        </w:rPr>
        <w:t>2、非授权代表办理上述事宜，采购人将拒绝。</w:t>
      </w:r>
    </w:p>
    <w:p>
      <w:pPr>
        <w:spacing w:line="360" w:lineRule="auto"/>
        <w:rPr>
          <w:rFonts w:ascii="楷体" w:hAnsi="楷体" w:eastAsia="楷体" w:cs="楷体"/>
          <w:sz w:val="24"/>
          <w:szCs w:val="24"/>
        </w:rPr>
      </w:pPr>
      <w:r>
        <w:rPr>
          <w:rFonts w:hint="eastAsia" w:ascii="楷体" w:hAnsi="楷体" w:eastAsia="楷体" w:cs="楷体"/>
          <w:sz w:val="24"/>
          <w:szCs w:val="24"/>
        </w:rPr>
        <w:t>3、供应商法定代表人直接参加投标的，无须提供法人授权委托书，但须持本人身份证件及营业执照复印件办理相关手续。</w:t>
      </w:r>
    </w:p>
    <w:p>
      <w:pPr>
        <w:spacing w:line="360" w:lineRule="auto"/>
        <w:rPr>
          <w:rFonts w:ascii="楷体" w:hAnsi="楷体" w:eastAsia="楷体" w:cs="楷体"/>
          <w:sz w:val="28"/>
          <w:szCs w:val="28"/>
        </w:rPr>
      </w:pPr>
    </w:p>
    <w:p>
      <w:pPr>
        <w:pStyle w:val="24"/>
        <w:numPr>
          <w:ilvl w:val="0"/>
          <w:numId w:val="0"/>
        </w:numPr>
        <w:jc w:val="center"/>
        <w:rPr>
          <w:rFonts w:hint="eastAsia" w:ascii="Arial" w:hAnsi="Arial" w:eastAsia="方正楷体_GBK" w:cs="Calibri"/>
          <w:b/>
          <w:bCs w:val="0"/>
          <w:kern w:val="2"/>
          <w:sz w:val="28"/>
          <w:szCs w:val="21"/>
          <w:lang w:val="en-US" w:eastAsia="zh-CN" w:bidi="ar-SA"/>
        </w:rPr>
      </w:pPr>
      <w:bookmarkStart w:id="118" w:name="_Toc30644"/>
      <w:r>
        <w:rPr>
          <w:rFonts w:hint="eastAsia" w:ascii="楷体" w:hAnsi="楷体" w:eastAsia="楷体" w:cs="楷体"/>
          <w:b w:val="0"/>
          <w:bCs w:val="0"/>
        </w:rPr>
        <w:br w:type="page"/>
      </w:r>
      <w:bookmarkEnd w:id="118"/>
      <w:bookmarkStart w:id="119" w:name="_Toc27307"/>
      <w:bookmarkStart w:id="120" w:name="_Toc19684"/>
      <w:bookmarkStart w:id="121" w:name="_Toc9521"/>
      <w:bookmarkStart w:id="122" w:name="_Toc9284"/>
      <w:bookmarkStart w:id="123" w:name="_Toc9701"/>
      <w:r>
        <w:rPr>
          <w:rFonts w:hint="eastAsia" w:ascii="Arial" w:hAnsi="Arial" w:eastAsia="方正楷体_GBK" w:cs="Calibri"/>
          <w:b/>
          <w:bCs w:val="0"/>
          <w:kern w:val="2"/>
          <w:sz w:val="28"/>
          <w:szCs w:val="21"/>
          <w:lang w:val="en-US" w:eastAsia="zh-CN" w:bidi="ar-SA"/>
        </w:rPr>
        <w:t>附 件2：具备履行合同所必需的设备和专业技术能力的书面声明</w:t>
      </w:r>
      <w:bookmarkEnd w:id="119"/>
      <w:bookmarkEnd w:id="120"/>
      <w:bookmarkEnd w:id="121"/>
      <w:bookmarkEnd w:id="122"/>
    </w:p>
    <w:bookmarkEnd w:id="123"/>
    <w:p>
      <w:pPr>
        <w:spacing w:line="460" w:lineRule="exact"/>
        <w:rPr>
          <w:rFonts w:ascii="楷体" w:hAnsi="楷体" w:eastAsia="楷体" w:cs="楷体"/>
          <w:sz w:val="24"/>
          <w:szCs w:val="24"/>
        </w:rPr>
      </w:pPr>
    </w:p>
    <w:p>
      <w:pPr>
        <w:spacing w:line="460" w:lineRule="exact"/>
        <w:ind w:firstLine="492"/>
        <w:rPr>
          <w:rFonts w:ascii="楷体" w:hAnsi="楷体" w:eastAsia="楷体" w:cs="楷体"/>
          <w:sz w:val="24"/>
          <w:szCs w:val="24"/>
        </w:rPr>
      </w:pPr>
      <w:r>
        <w:rPr>
          <w:rFonts w:hint="eastAsia" w:ascii="楷体" w:hAnsi="楷体" w:eastAsia="楷体" w:cs="楷体"/>
          <w:sz w:val="24"/>
          <w:szCs w:val="24"/>
        </w:rPr>
        <w:t>我公司郑重声明：我公司具备履行本项采购合同所必需的设备和专业技术能力，为履行本项采购合同我公司具备如下主要设备和主要专业技术能力：</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主要设备有：  。</w:t>
      </w:r>
    </w:p>
    <w:p>
      <w:pPr>
        <w:spacing w:line="460" w:lineRule="exact"/>
        <w:ind w:firstLine="492"/>
        <w:rPr>
          <w:rFonts w:ascii="楷体" w:hAnsi="楷体" w:eastAsia="楷体" w:cs="楷体"/>
          <w:sz w:val="24"/>
          <w:szCs w:val="24"/>
        </w:rPr>
      </w:pPr>
      <w:r>
        <w:rPr>
          <w:rFonts w:hint="eastAsia" w:ascii="楷体" w:hAnsi="楷体" w:eastAsia="楷体" w:cs="楷体"/>
          <w:sz w:val="24"/>
          <w:szCs w:val="24"/>
        </w:rPr>
        <w:t>主要专业技术能力有：   。</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w:t>
      </w:r>
    </w:p>
    <w:p>
      <w:pPr>
        <w:spacing w:line="460" w:lineRule="exact"/>
        <w:rPr>
          <w:rFonts w:ascii="楷体" w:hAnsi="楷体" w:eastAsia="楷体" w:cs="楷体"/>
          <w:sz w:val="24"/>
          <w:szCs w:val="24"/>
        </w:rPr>
      </w:pPr>
    </w:p>
    <w:p>
      <w:pPr>
        <w:spacing w:line="460" w:lineRule="exact"/>
        <w:ind w:firstLine="4560" w:firstLineChars="1900"/>
        <w:rPr>
          <w:rFonts w:ascii="楷体" w:hAnsi="楷体" w:eastAsia="楷体" w:cs="楷体"/>
          <w:sz w:val="24"/>
          <w:szCs w:val="24"/>
        </w:rPr>
      </w:pPr>
      <w:r>
        <w:rPr>
          <w:rFonts w:hint="eastAsia" w:ascii="楷体" w:hAnsi="楷体" w:eastAsia="楷体" w:cs="楷体"/>
          <w:sz w:val="24"/>
          <w:szCs w:val="24"/>
        </w:rPr>
        <w:t>法定代表人或授权代表签字：</w:t>
      </w:r>
    </w:p>
    <w:p>
      <w:pPr>
        <w:spacing w:line="460" w:lineRule="exact"/>
        <w:rPr>
          <w:rFonts w:ascii="楷体" w:hAnsi="楷体" w:eastAsia="楷体" w:cs="楷体"/>
          <w:sz w:val="24"/>
          <w:szCs w:val="24"/>
        </w:rPr>
      </w:pPr>
      <w:r>
        <w:rPr>
          <w:rFonts w:hint="eastAsia" w:ascii="楷体" w:hAnsi="楷体" w:eastAsia="楷体" w:cs="楷体"/>
          <w:sz w:val="24"/>
          <w:szCs w:val="24"/>
        </w:rPr>
        <w:t xml:space="preserve">                                      日期：</w:t>
      </w:r>
      <w:r>
        <w:rPr>
          <w:rFonts w:hint="eastAsia" w:ascii="楷体" w:hAnsi="楷体" w:eastAsia="楷体" w:cs="楷体"/>
          <w:sz w:val="24"/>
          <w:szCs w:val="24"/>
          <w:u w:val="single"/>
        </w:rPr>
        <w:t xml:space="preserve">      </w:t>
      </w:r>
      <w:r>
        <w:rPr>
          <w:rFonts w:hint="eastAsia" w:ascii="楷体" w:hAnsi="楷体" w:eastAsia="楷体" w:cs="楷体"/>
          <w:sz w:val="24"/>
          <w:szCs w:val="24"/>
        </w:rPr>
        <w:t>年</w:t>
      </w:r>
      <w:r>
        <w:rPr>
          <w:rFonts w:hint="eastAsia" w:ascii="楷体" w:hAnsi="楷体" w:eastAsia="楷体" w:cs="楷体"/>
          <w:sz w:val="24"/>
          <w:szCs w:val="24"/>
          <w:u w:val="single"/>
        </w:rPr>
        <w:t xml:space="preserve">    </w:t>
      </w:r>
      <w:r>
        <w:rPr>
          <w:rFonts w:hint="eastAsia" w:ascii="楷体" w:hAnsi="楷体" w:eastAsia="楷体" w:cs="楷体"/>
          <w:sz w:val="24"/>
          <w:szCs w:val="24"/>
        </w:rPr>
        <w:t>月</w:t>
      </w:r>
      <w:r>
        <w:rPr>
          <w:rFonts w:hint="eastAsia" w:ascii="楷体" w:hAnsi="楷体" w:eastAsia="楷体" w:cs="楷体"/>
          <w:sz w:val="24"/>
          <w:szCs w:val="24"/>
          <w:u w:val="single"/>
        </w:rPr>
        <w:t xml:space="preserve">    </w:t>
      </w:r>
      <w:r>
        <w:rPr>
          <w:rFonts w:hint="eastAsia" w:ascii="楷体" w:hAnsi="楷体" w:eastAsia="楷体" w:cs="楷体"/>
          <w:sz w:val="24"/>
          <w:szCs w:val="24"/>
        </w:rPr>
        <w:t>日</w:t>
      </w:r>
    </w:p>
    <w:p>
      <w:pPr>
        <w:pStyle w:val="4"/>
        <w:bidi w:val="0"/>
        <w:jc w:val="center"/>
        <w:rPr>
          <w:rFonts w:hint="eastAsia" w:ascii="Arial" w:hAnsi="Arial"/>
          <w:b/>
        </w:rPr>
      </w:pPr>
      <w:r>
        <w:rPr>
          <w:rFonts w:hint="eastAsia" w:ascii="Arial" w:hAnsi="Arial"/>
          <w:b/>
        </w:rPr>
        <w:br w:type="page"/>
      </w:r>
      <w:bookmarkStart w:id="124" w:name="_Toc18188"/>
      <w:bookmarkStart w:id="125" w:name="_Toc190"/>
      <w:bookmarkStart w:id="126" w:name="_Toc10944"/>
      <w:bookmarkStart w:id="127" w:name="_Toc30482"/>
      <w:bookmarkStart w:id="128" w:name="_Toc31391"/>
      <w:bookmarkStart w:id="129" w:name="_Toc26453"/>
      <w:bookmarkStart w:id="130" w:name="_Toc8873"/>
      <w:r>
        <w:rPr>
          <w:rFonts w:hint="eastAsia" w:ascii="Arial" w:hAnsi="Arial"/>
          <w:b/>
        </w:rPr>
        <w:t>附 件</w:t>
      </w:r>
      <w:bookmarkEnd w:id="124"/>
      <w:bookmarkEnd w:id="125"/>
      <w:r>
        <w:rPr>
          <w:rFonts w:hint="eastAsia" w:ascii="Arial" w:hAnsi="Arial"/>
          <w:b/>
          <w:lang w:val="en-US" w:eastAsia="zh-CN"/>
        </w:rPr>
        <w:t>3</w:t>
      </w:r>
      <w:r>
        <w:rPr>
          <w:rFonts w:hint="eastAsia" w:ascii="Arial" w:hAnsi="Arial"/>
          <w:b/>
        </w:rPr>
        <w:t>：三年内无重大违纪声明</w:t>
      </w:r>
      <w:bookmarkEnd w:id="126"/>
      <w:bookmarkEnd w:id="127"/>
      <w:bookmarkEnd w:id="128"/>
      <w:bookmarkEnd w:id="129"/>
      <w:bookmarkEnd w:id="130"/>
    </w:p>
    <w:p>
      <w:pPr>
        <w:spacing w:line="360" w:lineRule="auto"/>
        <w:jc w:val="center"/>
        <w:rPr>
          <w:rFonts w:ascii="楷体" w:hAnsi="楷体" w:eastAsia="楷体" w:cs="楷体"/>
          <w:sz w:val="36"/>
          <w:szCs w:val="36"/>
        </w:rPr>
      </w:pPr>
      <w:r>
        <w:rPr>
          <w:rFonts w:hint="eastAsia" w:ascii="楷体" w:hAnsi="楷体" w:eastAsia="楷体" w:cs="楷体"/>
          <w:b/>
          <w:bCs/>
          <w:sz w:val="36"/>
          <w:szCs w:val="36"/>
        </w:rPr>
        <w:t>声  明</w:t>
      </w:r>
    </w:p>
    <w:p>
      <w:pPr>
        <w:spacing w:line="360" w:lineRule="auto"/>
        <w:ind w:firstLine="480" w:firstLineChars="200"/>
        <w:rPr>
          <w:rFonts w:ascii="楷体" w:hAnsi="楷体" w:eastAsia="楷体" w:cs="楷体"/>
          <w:sz w:val="24"/>
          <w:szCs w:val="24"/>
        </w:rPr>
      </w:pPr>
      <w:r>
        <w:rPr>
          <w:rFonts w:hint="eastAsia" w:ascii="楷体" w:hAnsi="楷体" w:eastAsia="楷体" w:cs="楷体"/>
          <w:sz w:val="24"/>
          <w:szCs w:val="24"/>
        </w:rPr>
        <w:t>我公司郑重声明：参加本次采购活动前3年内，我公司在经营活动中没有因违法经营受到刑事处罚或者责令停产停业、吊销许可证或者执照、较大数额罚款等行政处罚。若采购单位在本项目采购过程中发现我公司近三年内在经营活动中有重大违法记录，我公司将无条件地退出本项目的采购，并承担因此引起的一切后果。</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日期：</w:t>
      </w:r>
    </w:p>
    <w:p>
      <w:pPr>
        <w:rPr>
          <w:rFonts w:ascii="楷体" w:hAnsi="楷体" w:eastAsia="楷体" w:cs="楷体"/>
          <w:sz w:val="24"/>
          <w:szCs w:val="24"/>
        </w:rPr>
      </w:pPr>
    </w:p>
    <w:p>
      <w:pPr>
        <w:pStyle w:val="24"/>
        <w:numPr>
          <w:ilvl w:val="0"/>
          <w:numId w:val="0"/>
        </w:numPr>
        <w:jc w:val="center"/>
        <w:rPr>
          <w:rFonts w:hint="eastAsia" w:ascii="Arial" w:hAnsi="Arial" w:eastAsia="方正楷体_GBK" w:cs="Calibri"/>
          <w:b/>
          <w:bCs w:val="0"/>
          <w:kern w:val="2"/>
          <w:sz w:val="28"/>
          <w:szCs w:val="21"/>
          <w:lang w:val="en-US" w:eastAsia="zh-CN" w:bidi="ar-SA"/>
        </w:rPr>
      </w:pPr>
      <w:r>
        <w:rPr>
          <w:rFonts w:hint="eastAsia" w:ascii="楷体" w:hAnsi="楷体" w:eastAsia="楷体" w:cs="楷体"/>
          <w:b w:val="0"/>
          <w:bCs w:val="0"/>
          <w:sz w:val="24"/>
          <w:szCs w:val="24"/>
        </w:rPr>
        <w:br w:type="page"/>
      </w:r>
      <w:bookmarkStart w:id="131" w:name="_Toc16683"/>
      <w:bookmarkStart w:id="132" w:name="_Toc4338"/>
      <w:bookmarkStart w:id="133" w:name="_Toc19093"/>
      <w:bookmarkStart w:id="134" w:name="_Toc26218"/>
      <w:bookmarkStart w:id="135" w:name="_Toc4301"/>
      <w:r>
        <w:rPr>
          <w:rFonts w:hint="eastAsia" w:ascii="Arial" w:hAnsi="Arial" w:eastAsia="方正楷体_GBK" w:cs="Calibri"/>
          <w:b/>
          <w:bCs w:val="0"/>
          <w:kern w:val="2"/>
          <w:sz w:val="28"/>
          <w:szCs w:val="21"/>
          <w:lang w:val="en-US" w:eastAsia="zh-CN" w:bidi="ar-SA"/>
        </w:rPr>
        <w:t>附 件4：中小企业声明函格式</w:t>
      </w:r>
      <w:bookmarkEnd w:id="131"/>
      <w:bookmarkEnd w:id="132"/>
      <w:bookmarkEnd w:id="133"/>
      <w:bookmarkEnd w:id="134"/>
    </w:p>
    <w:p>
      <w:pPr>
        <w:spacing w:line="360" w:lineRule="auto"/>
        <w:jc w:val="center"/>
        <w:rPr>
          <w:rFonts w:ascii="楷体" w:hAnsi="楷体" w:eastAsia="楷体" w:cs="楷体"/>
          <w:sz w:val="24"/>
          <w:szCs w:val="24"/>
        </w:rPr>
      </w:pPr>
      <w:r>
        <w:rPr>
          <w:rFonts w:hint="eastAsia" w:ascii="楷体" w:hAnsi="楷体" w:eastAsia="楷体" w:cs="楷体"/>
          <w:sz w:val="24"/>
          <w:szCs w:val="24"/>
        </w:rPr>
        <w:t>中小企业声明函</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本公司郑重声明，根据《政府采购促进中小企业发展暂行办法》（财库[2011]181号）的规定，本公司为______（请填写：中型、小型、微型）企业。即，本公司同时满足以下条件：</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1、根据《工业和信息化部、国家统计局、国家发展和改革委员会、财政部关于印发中小企业划型标准规定的通知》（工信部联企业[2011]300号）规定的划分标准，本公司为______（请填写：中型、小型、微型）企业。</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2、本公司参加__________________单位的________________________项目采购活动提供本企业制造的货物，由本企业承担工程、提供服务，或者提供其他______（请填写：中型、小型、微型）企业制造的货物。本条所称货物不包括使用大型企业注册商标的货物。</w:t>
      </w:r>
    </w:p>
    <w:p>
      <w:pPr>
        <w:spacing w:line="360" w:lineRule="auto"/>
        <w:ind w:firstLine="420"/>
        <w:rPr>
          <w:rFonts w:ascii="楷体" w:hAnsi="楷体" w:eastAsia="楷体" w:cs="楷体"/>
          <w:sz w:val="24"/>
          <w:szCs w:val="24"/>
        </w:rPr>
      </w:pPr>
      <w:r>
        <w:rPr>
          <w:rFonts w:hint="eastAsia" w:ascii="楷体" w:hAnsi="楷体" w:eastAsia="楷体" w:cs="楷体"/>
          <w:sz w:val="24"/>
          <w:szCs w:val="24"/>
        </w:rPr>
        <w:t>本公司对上述声明的真实性负责。如有虚假，将依法承担相应责任。</w:t>
      </w:r>
    </w:p>
    <w:p>
      <w:pPr>
        <w:spacing w:line="360" w:lineRule="auto"/>
        <w:rPr>
          <w:rFonts w:ascii="楷体" w:hAnsi="楷体" w:eastAsia="楷体" w:cs="楷体"/>
          <w:sz w:val="24"/>
          <w:szCs w:val="24"/>
        </w:rPr>
      </w:pPr>
    </w:p>
    <w:p>
      <w:pPr>
        <w:spacing w:line="360" w:lineRule="auto"/>
        <w:rPr>
          <w:rFonts w:ascii="楷体" w:hAnsi="楷体" w:eastAsia="楷体" w:cs="楷体"/>
          <w:sz w:val="24"/>
          <w:szCs w:val="24"/>
        </w:rPr>
      </w:pPr>
      <w:r>
        <w:rPr>
          <w:rFonts w:hint="eastAsia" w:ascii="楷体" w:hAnsi="楷体" w:eastAsia="楷体" w:cs="楷体"/>
          <w:sz w:val="28"/>
          <w:szCs w:val="28"/>
        </w:rPr>
        <w:t xml:space="preserve">                          </w:t>
      </w:r>
      <w:r>
        <w:rPr>
          <w:rFonts w:hint="eastAsia" w:ascii="楷体" w:hAnsi="楷体" w:eastAsia="楷体" w:cs="楷体"/>
          <w:sz w:val="24"/>
          <w:szCs w:val="24"/>
        </w:rPr>
        <w:t xml:space="preserve"> 磋商供应商全称（公章）：</w:t>
      </w:r>
    </w:p>
    <w:p>
      <w:pPr>
        <w:spacing w:line="360" w:lineRule="auto"/>
        <w:rPr>
          <w:rFonts w:ascii="楷体" w:hAnsi="楷体" w:eastAsia="楷体" w:cs="楷体"/>
          <w:sz w:val="24"/>
          <w:szCs w:val="24"/>
        </w:rPr>
      </w:pPr>
      <w:r>
        <w:rPr>
          <w:rFonts w:hint="eastAsia" w:ascii="楷体" w:hAnsi="楷体" w:eastAsia="楷体" w:cs="楷体"/>
          <w:sz w:val="24"/>
          <w:szCs w:val="24"/>
        </w:rPr>
        <w:t xml:space="preserve">                               法定代表人（授权代表）签章：</w:t>
      </w:r>
    </w:p>
    <w:p>
      <w:pPr>
        <w:rPr>
          <w:rFonts w:hint="eastAsia" w:ascii="楷体" w:hAnsi="楷体" w:eastAsia="楷体" w:cs="楷体"/>
          <w:sz w:val="24"/>
          <w:szCs w:val="24"/>
        </w:rPr>
      </w:pPr>
      <w:r>
        <w:rPr>
          <w:rFonts w:hint="eastAsia" w:ascii="楷体" w:hAnsi="楷体" w:eastAsia="楷体" w:cs="楷体"/>
          <w:sz w:val="24"/>
          <w:szCs w:val="24"/>
        </w:rPr>
        <w:t xml:space="preserve">                               日期：</w:t>
      </w:r>
      <w:bookmarkEnd w:id="135"/>
      <w:bookmarkStart w:id="136" w:name="_Toc30780"/>
      <w:bookmarkStart w:id="137" w:name="_Toc11048"/>
      <w:bookmarkStart w:id="138" w:name="_Toc31660"/>
      <w:bookmarkStart w:id="139" w:name="_Toc10887"/>
    </w:p>
    <w:bookmarkEnd w:id="136"/>
    <w:bookmarkEnd w:id="137"/>
    <w:bookmarkEnd w:id="138"/>
    <w:bookmarkEnd w:id="139"/>
    <w:p>
      <w:pPr>
        <w:spacing w:line="360" w:lineRule="auto"/>
        <w:rPr>
          <w:rFonts w:ascii="楷体" w:hAnsi="楷体" w:eastAsia="楷体" w:cs="楷体"/>
          <w:sz w:val="24"/>
          <w:szCs w:val="24"/>
        </w:rPr>
      </w:pPr>
    </w:p>
    <w:p>
      <w:pPr>
        <w:spacing w:line="360" w:lineRule="auto"/>
        <w:rPr>
          <w:rFonts w:ascii="楷体" w:hAnsi="楷体" w:eastAsia="楷体" w:cs="楷体"/>
          <w:sz w:val="28"/>
          <w:szCs w:val="28"/>
        </w:rPr>
      </w:pPr>
    </w:p>
    <w:p>
      <w:pPr>
        <w:rPr>
          <w:rFonts w:ascii="楷体" w:hAnsi="楷体" w:eastAsia="楷体" w:cs="楷体"/>
        </w:rPr>
      </w:pPr>
    </w:p>
    <w:p>
      <w:pPr>
        <w:spacing w:line="360" w:lineRule="auto"/>
        <w:rPr>
          <w:rFonts w:ascii="楷体" w:hAnsi="楷体" w:eastAsia="楷体" w:cs="楷体"/>
          <w:sz w:val="28"/>
          <w:szCs w:val="28"/>
        </w:rPr>
      </w:pPr>
    </w:p>
    <w:p/>
    <w:p/>
    <w:sectPr>
      <w:headerReference r:id="rId9" w:type="default"/>
      <w:footerReference r:id="rId10" w:type="default"/>
      <w:pgSz w:w="11906" w:h="16838"/>
      <w:pgMar w:top="1440" w:right="1803" w:bottom="1440" w:left="1803" w:header="851" w:footer="992" w:gutter="0"/>
      <w:pgNumType w:start="1"/>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楷体_GBK">
    <w:altName w:val="微软雅黑"/>
    <w:panose1 w:val="03000509000000000000"/>
    <w:charset w:val="86"/>
    <w:family w:val="auto"/>
    <w:pitch w:val="default"/>
    <w:sig w:usb0="00000000" w:usb1="00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Tahoma">
    <w:panose1 w:val="020B0604030504040204"/>
    <w:charset w:val="00"/>
    <w:family w:val="auto"/>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方正仿宋_GBK">
    <w:altName w:val="微软雅黑"/>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286385" cy="19685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86385" cy="196850"/>
                      </a:xfrm>
                      <a:prstGeom prst="rect">
                        <a:avLst/>
                      </a:prstGeom>
                      <a:noFill/>
                      <a:ln w="9525">
                        <a:noFill/>
                      </a:ln>
                      <a:effectLst/>
                    </wps:spPr>
                    <wps:txbx>
                      <w:txbxContent>
                        <w:p>
                          <w:pPr>
                            <w:pStyle w:val="7"/>
                            <w:ind w:firstLine="360"/>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5.5pt;width:22.55pt;mso-position-horizontal:center;mso-position-horizontal-relative:margin;mso-wrap-style:none;z-index:251658240;mso-width-relative:page;mso-height-relative:page;" filled="f" stroked="f" coordsize="21600,21600" o:gfxdata="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pIxZx9EAAAADAQAADwAAAAAAAAABACAAAAAiAAAAZHJzL2Rvd25yZXYueG1sUEsB&#10;AhQAFAAAAAgAh07iQH+UnRvDAQAAYAMAAA4AAAAAAAAAAQAgAAAAIAEAAGRycy9lMm9Eb2MueG1s&#10;UEsFBgAAAAAGAAYAWQEAAFUFAAAAAA==&#10;">
              <v:fill on="f" focussize="0,0"/>
              <v:stroke on="f"/>
              <v:imagedata o:title=""/>
              <o:lock v:ext="edit" aspectratio="f"/>
              <v:textbox inset="0mm,0mm,0mm,0mm" style="mso-fit-shape-to-text:t;">
                <w:txbxContent>
                  <w:p>
                    <w:pPr>
                      <w:pStyle w:val="7"/>
                      <w:ind w:firstLine="360"/>
                    </w:pPr>
                    <w:r>
                      <w:fldChar w:fldCharType="begin"/>
                    </w:r>
                    <w:r>
                      <w:instrText xml:space="preserve"> PAGE  \* MERGEFORMAT </w:instrText>
                    </w:r>
                    <w:r>
                      <w:fldChar w:fldCharType="separate"/>
                    </w:r>
                    <w:r>
                      <w:t>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4" w:space="1"/>
      </w:pBdr>
      <w:spacing w:line="240" w:lineRule="auto"/>
      <w:ind w:firstLine="0" w:firstLineChars="0"/>
      <w:jc w:val="both"/>
      <w:rPr>
        <w:rFonts w:hint="eastAsia" w:ascii="仿宋" w:hAnsi="仿宋" w:eastAsia="Calibri"/>
      </w:rPr>
    </w:pPr>
    <w:r>
      <w:rPr>
        <w:rFonts w:hint="eastAsia"/>
      </w:rPr>
      <w:t>JY2020</w:t>
    </w:r>
    <w:r>
      <w:rPr>
        <w:rFonts w:hint="eastAsia"/>
        <w:lang w:val="en-US" w:eastAsia="zh-CN"/>
      </w:rPr>
      <w:t>072</w:t>
    </w:r>
    <w:r>
      <w:rPr>
        <w:rFonts w:hint="eastAsia"/>
      </w:rPr>
      <w:t xml:space="preserve">  </w:t>
    </w:r>
    <w:r>
      <w:t xml:space="preserve"> </w:t>
    </w:r>
    <w:bookmarkStart w:id="140" w:name="_GoBack"/>
    <w:bookmarkEnd w:id="140"/>
    <w:r>
      <w:t xml:space="preserve">                                </w:t>
    </w:r>
    <w:r>
      <w:rPr>
        <w:rFonts w:hint="eastAsia"/>
      </w:rPr>
      <w:t xml:space="preserve">                        </w:t>
    </w:r>
    <w:r>
      <w:rPr>
        <w:rFonts w:hint="eastAsia" w:ascii="楷体" w:hAnsi="楷体" w:eastAsia="楷体"/>
      </w:rPr>
      <w:t>南京交通职业技术学院</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single" w:color="auto" w:sz="4" w:space="1"/>
      </w:pBdr>
      <w:spacing w:line="240" w:lineRule="auto"/>
      <w:ind w:firstLine="0" w:firstLineChars="0"/>
      <w:jc w:val="both"/>
      <w:rPr>
        <w:rFonts w:hint="eastAsia" w:ascii="仿宋" w:hAnsi="仿宋" w:eastAsia="Calibri"/>
      </w:rPr>
    </w:pPr>
    <w:r>
      <w:rPr>
        <w:rFonts w:hint="eastAsia"/>
        <w:lang w:eastAsia="zh-CN"/>
      </w:rPr>
      <w:t>JY2020072</w:t>
    </w:r>
    <w:r>
      <w:rPr>
        <w:rFonts w:hint="eastAsia"/>
      </w:rPr>
      <w:t xml:space="preserve">                                                         </w:t>
    </w:r>
    <w:r>
      <w:rPr>
        <w:rFonts w:hint="eastAsia" w:ascii="楷体" w:hAnsi="楷体" w:eastAsia="楷体"/>
      </w:rPr>
      <w:t>南京交通职业技术学院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D30D527"/>
    <w:multiLevelType w:val="singleLevel"/>
    <w:tmpl w:val="9D30D527"/>
    <w:lvl w:ilvl="0" w:tentative="0">
      <w:start w:val="1"/>
      <w:numFmt w:val="decimal"/>
      <w:lvlText w:val="%1)"/>
      <w:lvlJc w:val="left"/>
      <w:pPr>
        <w:ind w:left="425" w:hanging="425"/>
      </w:pPr>
      <w:rPr>
        <w:rFonts w:hint="default"/>
      </w:rPr>
    </w:lvl>
  </w:abstractNum>
  <w:abstractNum w:abstractNumId="1">
    <w:nsid w:val="CAC2A000"/>
    <w:multiLevelType w:val="singleLevel"/>
    <w:tmpl w:val="CAC2A000"/>
    <w:lvl w:ilvl="0" w:tentative="0">
      <w:start w:val="1"/>
      <w:numFmt w:val="decimal"/>
      <w:suff w:val="nothing"/>
      <w:lvlText w:val="%1、"/>
      <w:lvlJc w:val="left"/>
    </w:lvl>
  </w:abstractNum>
  <w:abstractNum w:abstractNumId="2">
    <w:nsid w:val="00000011"/>
    <w:multiLevelType w:val="multilevel"/>
    <w:tmpl w:val="00000011"/>
    <w:lvl w:ilvl="0" w:tentative="0">
      <w:start w:val="1"/>
      <w:numFmt w:val="japaneseCounting"/>
      <w:pStyle w:val="24"/>
      <w:lvlText w:val="%1、"/>
      <w:lvlJc w:val="left"/>
      <w:pPr>
        <w:tabs>
          <w:tab w:val="left" w:pos="720"/>
        </w:tabs>
        <w:ind w:left="720" w:hanging="720"/>
      </w:pPr>
      <w:rPr>
        <w:rFonts w:hint="eastAsia"/>
      </w:rPr>
    </w:lvl>
    <w:lvl w:ilvl="1" w:tentative="0">
      <w:start w:val="1"/>
      <w:numFmt w:val="chineseCountingThousand"/>
      <w:lvlText w:val="（%2）"/>
      <w:lvlJc w:val="left"/>
      <w:pPr>
        <w:tabs>
          <w:tab w:val="left" w:pos="780"/>
        </w:tabs>
        <w:ind w:left="780" w:hanging="780"/>
      </w:pPr>
      <w:rPr>
        <w:rFonts w:hint="eastAsia"/>
      </w:rPr>
    </w:lvl>
    <w:lvl w:ilvl="2" w:tentative="0">
      <w:start w:val="1"/>
      <w:numFmt w:val="lowerRoman"/>
      <w:lvlText w:val="%3."/>
      <w:lvlJc w:val="right"/>
      <w:pPr>
        <w:tabs>
          <w:tab w:val="left" w:pos="1260"/>
        </w:tabs>
        <w:ind w:left="1260" w:hanging="420"/>
      </w:pPr>
      <w:rPr>
        <w:rFonts w:hint="eastAsia"/>
      </w:rPr>
    </w:lvl>
    <w:lvl w:ilvl="3" w:tentative="0">
      <w:start w:val="1"/>
      <w:numFmt w:val="decimal"/>
      <w:lvlText w:val="%4."/>
      <w:lvlJc w:val="left"/>
      <w:pPr>
        <w:tabs>
          <w:tab w:val="left" w:pos="1680"/>
        </w:tabs>
        <w:ind w:left="1680" w:hanging="420"/>
      </w:pPr>
      <w:rPr>
        <w:rFonts w:hint="eastAsia"/>
      </w:rPr>
    </w:lvl>
    <w:lvl w:ilvl="4" w:tentative="0">
      <w:start w:val="1"/>
      <w:numFmt w:val="lowerLetter"/>
      <w:lvlText w:val="%5)"/>
      <w:lvlJc w:val="left"/>
      <w:pPr>
        <w:tabs>
          <w:tab w:val="left" w:pos="2100"/>
        </w:tabs>
        <w:ind w:left="2100" w:hanging="420"/>
      </w:pPr>
      <w:rPr>
        <w:rFonts w:hint="eastAsia"/>
      </w:rPr>
    </w:lvl>
    <w:lvl w:ilvl="5" w:tentative="0">
      <w:start w:val="1"/>
      <w:numFmt w:val="lowerRoman"/>
      <w:lvlText w:val="%6."/>
      <w:lvlJc w:val="right"/>
      <w:pPr>
        <w:tabs>
          <w:tab w:val="left" w:pos="2520"/>
        </w:tabs>
        <w:ind w:left="2520" w:hanging="420"/>
      </w:pPr>
      <w:rPr>
        <w:rFonts w:hint="eastAsia"/>
      </w:rPr>
    </w:lvl>
    <w:lvl w:ilvl="6" w:tentative="0">
      <w:start w:val="1"/>
      <w:numFmt w:val="decimal"/>
      <w:lvlText w:val="%7."/>
      <w:lvlJc w:val="left"/>
      <w:pPr>
        <w:tabs>
          <w:tab w:val="left" w:pos="2940"/>
        </w:tabs>
        <w:ind w:left="2940" w:hanging="420"/>
      </w:pPr>
      <w:rPr>
        <w:rFonts w:hint="eastAsia"/>
      </w:rPr>
    </w:lvl>
    <w:lvl w:ilvl="7" w:tentative="0">
      <w:start w:val="1"/>
      <w:numFmt w:val="lowerLetter"/>
      <w:lvlText w:val="%8)"/>
      <w:lvlJc w:val="left"/>
      <w:pPr>
        <w:tabs>
          <w:tab w:val="left" w:pos="3360"/>
        </w:tabs>
        <w:ind w:left="3360" w:hanging="420"/>
      </w:pPr>
      <w:rPr>
        <w:rFonts w:hint="eastAsia"/>
      </w:rPr>
    </w:lvl>
    <w:lvl w:ilvl="8" w:tentative="0">
      <w:start w:val="1"/>
      <w:numFmt w:val="lowerRoman"/>
      <w:lvlText w:val="%9."/>
      <w:lvlJc w:val="right"/>
      <w:pPr>
        <w:tabs>
          <w:tab w:val="left" w:pos="3780"/>
        </w:tabs>
        <w:ind w:left="3780" w:hanging="420"/>
      </w:pPr>
      <w:rPr>
        <w:rFonts w:hint="eastAsia"/>
      </w:rPr>
    </w:lvl>
  </w:abstractNum>
  <w:abstractNum w:abstractNumId="3">
    <w:nsid w:val="28B28F79"/>
    <w:multiLevelType w:val="singleLevel"/>
    <w:tmpl w:val="28B28F79"/>
    <w:lvl w:ilvl="0" w:tentative="0">
      <w:start w:val="12"/>
      <w:numFmt w:val="chineseCounting"/>
      <w:suff w:val="nothing"/>
      <w:lvlText w:val="%1、"/>
      <w:lvlJc w:val="left"/>
      <w:rPr>
        <w:rFonts w:hint="eastAsia"/>
      </w:rPr>
    </w:lvl>
  </w:abstractNum>
  <w:abstractNum w:abstractNumId="4">
    <w:nsid w:val="7FEB9ABA"/>
    <w:multiLevelType w:val="singleLevel"/>
    <w:tmpl w:val="7FEB9ABA"/>
    <w:lvl w:ilvl="0" w:tentative="0">
      <w:start w:val="3"/>
      <w:numFmt w:val="chineseCounting"/>
      <w:suff w:val="nothing"/>
      <w:lvlText w:val="%1、"/>
      <w:lvlJc w:val="left"/>
      <w:rPr>
        <w:rFonts w:hint="eastAsia" w:cs="Times New Roman"/>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68E7DB9"/>
    <w:rsid w:val="000843CA"/>
    <w:rsid w:val="000D6745"/>
    <w:rsid w:val="02982430"/>
    <w:rsid w:val="06A10831"/>
    <w:rsid w:val="0A0F7809"/>
    <w:rsid w:val="0AA11CCD"/>
    <w:rsid w:val="0BDD3AB2"/>
    <w:rsid w:val="0E06373D"/>
    <w:rsid w:val="0EFC10A4"/>
    <w:rsid w:val="0F0F7553"/>
    <w:rsid w:val="0FB74E57"/>
    <w:rsid w:val="159623A7"/>
    <w:rsid w:val="1ABE2B46"/>
    <w:rsid w:val="1CA75C6A"/>
    <w:rsid w:val="21E76CAF"/>
    <w:rsid w:val="268E7DB9"/>
    <w:rsid w:val="27B558B8"/>
    <w:rsid w:val="29CE2EBB"/>
    <w:rsid w:val="2B655E45"/>
    <w:rsid w:val="2D183DDD"/>
    <w:rsid w:val="2F3D1311"/>
    <w:rsid w:val="31BA21BD"/>
    <w:rsid w:val="39CC3734"/>
    <w:rsid w:val="3A360413"/>
    <w:rsid w:val="3CE47133"/>
    <w:rsid w:val="3DD30D41"/>
    <w:rsid w:val="415A77AA"/>
    <w:rsid w:val="48627008"/>
    <w:rsid w:val="4AD804F4"/>
    <w:rsid w:val="4CCF647C"/>
    <w:rsid w:val="4FC96EE5"/>
    <w:rsid w:val="50A90CC7"/>
    <w:rsid w:val="53D10A84"/>
    <w:rsid w:val="587F24FE"/>
    <w:rsid w:val="58EA3AFE"/>
    <w:rsid w:val="5FDC7FB7"/>
    <w:rsid w:val="64C04064"/>
    <w:rsid w:val="667A2D15"/>
    <w:rsid w:val="68954316"/>
    <w:rsid w:val="6B8676E5"/>
    <w:rsid w:val="6BF46B78"/>
    <w:rsid w:val="6F5D030E"/>
    <w:rsid w:val="70011131"/>
    <w:rsid w:val="754F3785"/>
    <w:rsid w:val="78F622B8"/>
    <w:rsid w:val="7AEF2E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qFormat="1" w:unhideWhenUsed="0" w:uiPriority="99"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jc w:val="center"/>
      <w:outlineLvl w:val="0"/>
    </w:pPr>
    <w:rPr>
      <w:rFonts w:eastAsia="方正楷体_GBK"/>
      <w:b/>
      <w:kern w:val="44"/>
      <w:sz w:val="44"/>
    </w:rPr>
  </w:style>
  <w:style w:type="paragraph" w:styleId="4">
    <w:name w:val="heading 2"/>
    <w:basedOn w:val="1"/>
    <w:next w:val="1"/>
    <w:unhideWhenUsed/>
    <w:qFormat/>
    <w:uiPriority w:val="0"/>
    <w:pPr>
      <w:keepNext/>
      <w:keepLines/>
      <w:spacing w:beforeLines="0" w:beforeAutospacing="0" w:afterLines="0" w:afterAutospacing="0" w:line="360" w:lineRule="auto"/>
      <w:outlineLvl w:val="1"/>
    </w:pPr>
    <w:rPr>
      <w:rFonts w:ascii="Arial" w:hAnsi="Arial" w:eastAsia="方正楷体_GBK"/>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index 4"/>
    <w:basedOn w:val="1"/>
    <w:next w:val="1"/>
    <w:qFormat/>
    <w:uiPriority w:val="99"/>
    <w:pPr>
      <w:ind w:left="600" w:leftChars="600"/>
    </w:pPr>
    <w:rPr>
      <w:rFonts w:ascii="Verdana" w:hAnsi="Verdana"/>
      <w:szCs w:val="20"/>
    </w:rPr>
  </w:style>
  <w:style w:type="paragraph" w:styleId="5">
    <w:name w:val="Normal Indent"/>
    <w:basedOn w:val="1"/>
    <w:qFormat/>
    <w:uiPriority w:val="0"/>
    <w:pPr>
      <w:ind w:firstLine="420"/>
    </w:pPr>
    <w:rPr>
      <w:szCs w:val="20"/>
    </w:rPr>
  </w:style>
  <w:style w:type="paragraph" w:styleId="6">
    <w:name w:val="Body Text"/>
    <w:basedOn w:val="1"/>
    <w:qFormat/>
    <w:uiPriority w:val="1"/>
  </w:style>
  <w:style w:type="paragraph" w:styleId="7">
    <w:name w:val="footer"/>
    <w:basedOn w:val="1"/>
    <w:qFormat/>
    <w:uiPriority w:val="0"/>
    <w:pPr>
      <w:tabs>
        <w:tab w:val="center" w:pos="4153"/>
        <w:tab w:val="right" w:pos="8306"/>
      </w:tabs>
      <w:snapToGrid w:val="0"/>
      <w:spacing w:line="360" w:lineRule="auto"/>
      <w:ind w:firstLine="200" w:firstLineChars="200"/>
      <w:jc w:val="left"/>
    </w:pPr>
    <w:rPr>
      <w:rFonts w:ascii="Times New Roman" w:hAnsi="Times New Roman" w:cs="Times New Roman"/>
      <w:sz w:val="18"/>
      <w:szCs w:val="18"/>
    </w:rPr>
  </w:style>
  <w:style w:type="paragraph" w:styleId="8">
    <w:name w:val="header"/>
    <w:basedOn w:val="1"/>
    <w:qFormat/>
    <w:uiPriority w:val="0"/>
    <w:pPr>
      <w:pBdr>
        <w:bottom w:val="single" w:color="auto" w:sz="6" w:space="1"/>
      </w:pBdr>
      <w:tabs>
        <w:tab w:val="center" w:pos="4153"/>
        <w:tab w:val="right" w:pos="8306"/>
      </w:tabs>
      <w:snapToGrid w:val="0"/>
      <w:spacing w:line="360" w:lineRule="auto"/>
      <w:ind w:firstLine="200" w:firstLineChars="200"/>
      <w:jc w:val="center"/>
    </w:pPr>
    <w:rPr>
      <w:rFonts w:ascii="Times New Roman" w:hAnsi="Times New Roman" w:cs="Times New Roman"/>
      <w:sz w:val="18"/>
      <w:szCs w:val="18"/>
    </w:rPr>
  </w:style>
  <w:style w:type="paragraph" w:styleId="9">
    <w:name w:val="toc 1"/>
    <w:basedOn w:val="1"/>
    <w:next w:val="1"/>
    <w:qFormat/>
    <w:uiPriority w:val="0"/>
    <w:pPr>
      <w:tabs>
        <w:tab w:val="right" w:leader="dot" w:pos="8720"/>
      </w:tabs>
      <w:spacing w:before="120" w:after="120" w:line="400" w:lineRule="exact"/>
      <w:ind w:firstLine="200" w:firstLineChars="200"/>
      <w:jc w:val="left"/>
    </w:pPr>
    <w:rPr>
      <w:rFonts w:ascii="宋体" w:hAnsi="宋体" w:cs="宋体"/>
      <w:caps/>
      <w:sz w:val="24"/>
      <w:szCs w:val="24"/>
    </w:rPr>
  </w:style>
  <w:style w:type="paragraph" w:styleId="10">
    <w:name w:val="toc 2"/>
    <w:basedOn w:val="1"/>
    <w:next w:val="1"/>
    <w:qFormat/>
    <w:uiPriority w:val="0"/>
    <w:pPr>
      <w:ind w:left="420" w:leftChars="200"/>
    </w:pPr>
  </w:style>
  <w:style w:type="paragraph" w:styleId="11">
    <w:name w:val="Body Text First Indent"/>
    <w:basedOn w:val="6"/>
    <w:qFormat/>
    <w:uiPriority w:val="99"/>
    <w:pPr>
      <w:ind w:firstLine="420" w:firstLineChars="100"/>
    </w:pPr>
  </w:style>
  <w:style w:type="character" w:styleId="14">
    <w:name w:val="Strong"/>
    <w:basedOn w:val="13"/>
    <w:qFormat/>
    <w:uiPriority w:val="0"/>
  </w:style>
  <w:style w:type="character" w:styleId="15">
    <w:name w:val="Emphasis"/>
    <w:basedOn w:val="13"/>
    <w:qFormat/>
    <w:uiPriority w:val="0"/>
  </w:style>
  <w:style w:type="character" w:styleId="16">
    <w:name w:val="HTML Definition"/>
    <w:basedOn w:val="13"/>
    <w:qFormat/>
    <w:uiPriority w:val="0"/>
  </w:style>
  <w:style w:type="character" w:styleId="17">
    <w:name w:val="HTML Variable"/>
    <w:basedOn w:val="13"/>
    <w:qFormat/>
    <w:uiPriority w:val="0"/>
  </w:style>
  <w:style w:type="character" w:styleId="18">
    <w:name w:val="Hyperlink"/>
    <w:basedOn w:val="13"/>
    <w:qFormat/>
    <w:uiPriority w:val="0"/>
  </w:style>
  <w:style w:type="character" w:styleId="19">
    <w:name w:val="HTML Code"/>
    <w:basedOn w:val="13"/>
    <w:qFormat/>
    <w:uiPriority w:val="0"/>
    <w:rPr>
      <w:rFonts w:ascii="Helvetica" w:hAnsi="Helvetica" w:eastAsia="Helvetica" w:cs="Helvetica"/>
      <w:color w:val="FFFFFF"/>
      <w:sz w:val="18"/>
      <w:szCs w:val="18"/>
    </w:rPr>
  </w:style>
  <w:style w:type="character" w:styleId="20">
    <w:name w:val="HTML Cite"/>
    <w:basedOn w:val="13"/>
    <w:qFormat/>
    <w:uiPriority w:val="0"/>
  </w:style>
  <w:style w:type="paragraph" w:customStyle="1" w:styleId="21">
    <w:name w:val="首行缩进"/>
    <w:qFormat/>
    <w:uiPriority w:val="0"/>
    <w:pPr>
      <w:widowControl w:val="0"/>
      <w:autoSpaceDE w:val="0"/>
      <w:autoSpaceDN w:val="0"/>
      <w:ind w:firstLine="480" w:firstLineChars="200"/>
    </w:pPr>
    <w:rPr>
      <w:rFonts w:ascii="宋体" w:hAnsi="宋体" w:eastAsia="宋体" w:cs="宋体"/>
      <w:sz w:val="22"/>
      <w:szCs w:val="22"/>
      <w:lang w:val="zh-CN" w:eastAsia="zh-CN" w:bidi="zh-CN"/>
    </w:rPr>
  </w:style>
  <w:style w:type="paragraph" w:customStyle="1" w:styleId="22">
    <w:name w:val="普通正文"/>
    <w:basedOn w:val="1"/>
    <w:qFormat/>
    <w:uiPriority w:val="99"/>
    <w:pPr>
      <w:adjustRightInd w:val="0"/>
      <w:spacing w:before="120" w:after="120" w:line="360" w:lineRule="auto"/>
      <w:ind w:firstLine="480" w:firstLineChars="200"/>
      <w:jc w:val="left"/>
    </w:pPr>
    <w:rPr>
      <w:rFonts w:ascii="Arial" w:hAnsi="Arial" w:cs="Arial"/>
      <w:kern w:val="0"/>
      <w:sz w:val="24"/>
      <w:szCs w:val="24"/>
    </w:rPr>
  </w:style>
  <w:style w:type="paragraph" w:customStyle="1" w:styleId="23">
    <w:name w:val="一级目录"/>
    <w:next w:val="1"/>
    <w:qFormat/>
    <w:uiPriority w:val="99"/>
    <w:pPr>
      <w:spacing w:after="100" w:afterLines="100"/>
      <w:jc w:val="center"/>
      <w:outlineLvl w:val="0"/>
    </w:pPr>
    <w:rPr>
      <w:rFonts w:ascii="黑体" w:hAnsi="黑体" w:eastAsia="方正楷体_GBK" w:cs="Times New Roman"/>
      <w:b/>
      <w:bCs/>
      <w:kern w:val="2"/>
      <w:sz w:val="44"/>
      <w:szCs w:val="44"/>
      <w:lang w:val="en-US" w:eastAsia="zh-CN" w:bidi="ar-SA"/>
    </w:rPr>
  </w:style>
  <w:style w:type="paragraph" w:customStyle="1" w:styleId="24">
    <w:name w:val="二级目录"/>
    <w:next w:val="1"/>
    <w:qFormat/>
    <w:uiPriority w:val="99"/>
    <w:pPr>
      <w:numPr>
        <w:ilvl w:val="0"/>
        <w:numId w:val="1"/>
      </w:numPr>
      <w:outlineLvl w:val="1"/>
    </w:pPr>
    <w:rPr>
      <w:rFonts w:ascii="Calibri" w:hAnsi="Calibri" w:eastAsia="方正楷体_GBK" w:cs="Times New Roman"/>
      <w:b/>
      <w:bCs/>
      <w:kern w:val="2"/>
      <w:sz w:val="28"/>
      <w:szCs w:val="28"/>
      <w:lang w:val="en-US" w:eastAsia="zh-CN" w:bidi="ar-SA"/>
    </w:rPr>
  </w:style>
  <w:style w:type="paragraph" w:customStyle="1" w:styleId="25">
    <w:name w:val="列出段落1"/>
    <w:basedOn w:val="1"/>
    <w:qFormat/>
    <w:uiPriority w:val="99"/>
    <w:pPr>
      <w:ind w:firstLine="420" w:firstLineChars="200"/>
    </w:pPr>
  </w:style>
  <w:style w:type="character" w:customStyle="1" w:styleId="26">
    <w:name w:val="x-tab-strip-text"/>
    <w:basedOn w:val="13"/>
    <w:qFormat/>
    <w:uiPriority w:val="0"/>
    <w:rPr>
      <w:color w:val="15428B"/>
    </w:rPr>
  </w:style>
  <w:style w:type="character" w:customStyle="1" w:styleId="27">
    <w:name w:val="x-tab-strip-text1"/>
    <w:basedOn w:val="13"/>
    <w:qFormat/>
    <w:uiPriority w:val="0"/>
  </w:style>
  <w:style w:type="character" w:customStyle="1" w:styleId="28">
    <w:name w:val="x-tab-strip-text2"/>
    <w:basedOn w:val="13"/>
    <w:qFormat/>
    <w:uiPriority w:val="0"/>
    <w:rPr>
      <w:rFonts w:ascii="宋体" w:hAnsi="宋体" w:eastAsia="宋体" w:cs="宋体"/>
      <w:color w:val="416AA3"/>
      <w:sz w:val="18"/>
      <w:szCs w:val="18"/>
    </w:rPr>
  </w:style>
  <w:style w:type="character" w:customStyle="1" w:styleId="29">
    <w:name w:val="x-tab-strip-text3"/>
    <w:basedOn w:val="13"/>
    <w:qFormat/>
    <w:uiPriority w:val="0"/>
  </w:style>
  <w:style w:type="character" w:customStyle="1" w:styleId="30">
    <w:name w:val="x-tab-strip-text4"/>
    <w:basedOn w:val="13"/>
    <w:qFormat/>
    <w:uiPriority w:val="0"/>
  </w:style>
  <w:style w:type="character" w:customStyle="1" w:styleId="31">
    <w:name w:val="x-tab-strip-text5"/>
    <w:basedOn w:val="13"/>
    <w:qFormat/>
    <w:uiPriority w:val="0"/>
    <w:rPr>
      <w:b/>
      <w:color w:val="15428B"/>
    </w:rPr>
  </w:style>
  <w:style w:type="character" w:customStyle="1" w:styleId="32">
    <w:name w:val="x-tab-strip-text6"/>
    <w:basedOn w:val="13"/>
    <w:qFormat/>
    <w:uiPriority w:val="0"/>
    <w:rPr>
      <w:color w:val="FFFFFF"/>
    </w:rPr>
  </w:style>
  <w:style w:type="character" w:customStyle="1" w:styleId="33">
    <w:name w:val="x-tab-strip-text7"/>
    <w:basedOn w:val="13"/>
    <w:qFormat/>
    <w:uiPriority w:val="0"/>
  </w:style>
  <w:style w:type="character" w:customStyle="1" w:styleId="34">
    <w:name w:val="x-tab-strip-text8"/>
    <w:basedOn w:val="13"/>
    <w:qFormat/>
    <w:uiPriority w:val="0"/>
    <w:rPr>
      <w:color w:val="246BB3"/>
    </w:rPr>
  </w:style>
  <w:style w:type="character" w:customStyle="1" w:styleId="35">
    <w:name w:val="x-tab-strip-text9"/>
    <w:basedOn w:val="13"/>
    <w:qFormat/>
    <w:uiPriority w:val="0"/>
    <w:rPr>
      <w:color w:val="012F5E"/>
    </w:rPr>
  </w:style>
  <w:style w:type="character" w:customStyle="1" w:styleId="36">
    <w:name w:val="x-tab-strip-text10"/>
    <w:basedOn w:val="13"/>
    <w:qFormat/>
    <w:uiPriority w:val="0"/>
    <w:rPr>
      <w:color w:val="02245B"/>
    </w:rPr>
  </w:style>
  <w:style w:type="character" w:customStyle="1" w:styleId="37">
    <w:name w:val="display"/>
    <w:basedOn w:val="13"/>
    <w:qFormat/>
    <w:uiPriority w:val="0"/>
  </w:style>
  <w:style w:type="character" w:customStyle="1" w:styleId="38">
    <w:name w:val="display1"/>
    <w:basedOn w:val="13"/>
    <w:qFormat/>
    <w:uiPriority w:val="0"/>
    <w:rPr>
      <w:bdr w:val="single" w:color="AAAAAA" w:sz="6" w:space="0"/>
    </w:rPr>
  </w:style>
  <w:style w:type="character" w:customStyle="1" w:styleId="39">
    <w:name w:val="on"/>
    <w:basedOn w:val="13"/>
    <w:qFormat/>
    <w:uiPriority w:val="0"/>
    <w:rPr>
      <w:rFonts w:ascii="Tahoma" w:hAnsi="Tahoma" w:eastAsia="Tahoma" w:cs="Tahoma"/>
      <w:color w:val="004080"/>
      <w:sz w:val="18"/>
      <w:szCs w:val="18"/>
      <w:shd w:val="clear" w:fill="9FD6FF"/>
    </w:rPr>
  </w:style>
  <w:style w:type="character" w:customStyle="1" w:styleId="40">
    <w:name w:val="btnbargray"/>
    <w:basedOn w:val="13"/>
    <w:qFormat/>
    <w:uiPriority w:val="0"/>
    <w:rPr>
      <w:color w:val="808080"/>
    </w:rPr>
  </w:style>
  <w:style w:type="character" w:customStyle="1" w:styleId="41">
    <w:name w:val="groupcaptionhandler"/>
    <w:basedOn w:val="13"/>
    <w:qFormat/>
    <w:uiPriority w:val="0"/>
  </w:style>
  <w:style w:type="character" w:customStyle="1" w:styleId="42">
    <w:name w:val="img"/>
    <w:basedOn w:val="13"/>
    <w:qFormat/>
    <w:uiPriority w:val="0"/>
  </w:style>
  <w:style w:type="character" w:customStyle="1" w:styleId="43">
    <w:name w:val="placehold"/>
    <w:basedOn w:val="13"/>
    <w:qFormat/>
    <w:uiPriority w:val="0"/>
  </w:style>
  <w:style w:type="character" w:customStyle="1" w:styleId="44">
    <w:name w:val="task-item-subject"/>
    <w:basedOn w:val="13"/>
    <w:qFormat/>
    <w:uiPriority w:val="0"/>
  </w:style>
  <w:style w:type="character" w:customStyle="1" w:styleId="45">
    <w:name w:val="subdisplay"/>
    <w:basedOn w:val="13"/>
    <w:qFormat/>
    <w:uiPriority w:val="0"/>
    <w:rPr>
      <w:color w:val="808080"/>
    </w:rPr>
  </w:style>
  <w:style w:type="character" w:customStyle="1" w:styleId="46">
    <w:name w:val="subdisplay1"/>
    <w:basedOn w:val="13"/>
    <w:qFormat/>
    <w:uiPriority w:val="0"/>
    <w:rPr>
      <w:color w:val="808080"/>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2020-08-03T05:37:00Z</dcterms:created>
  <dc:creator>丁成业</dc:creator>
  <cp:lastModifiedBy>丁成业</cp:lastModifiedBy>
  <cp:lastPrinted>2020-08-26T08:38:00Z</cp:lastPrinted>
  <dcterms:modified xsi:type="dcterms:W3CDTF">2020-08-27T08:01:20Z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