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eastAsiaTheme="minorEastAsia"/>
          <w:b/>
          <w:bCs/>
          <w:sz w:val="52"/>
          <w:szCs w:val="52"/>
        </w:rPr>
      </w:pPr>
      <w:bookmarkStart w:id="0" w:name="_Toc341993112"/>
      <w:bookmarkStart w:id="1" w:name="_Toc342241484"/>
      <w:bookmarkStart w:id="2" w:name="_Toc342252860"/>
      <w:bookmarkStart w:id="3" w:name="_Toc337620797"/>
      <w:bookmarkStart w:id="4" w:name="_Toc341988481"/>
      <w:bookmarkStart w:id="5" w:name="_Toc341992707"/>
      <w:bookmarkStart w:id="6" w:name="_Toc337622980"/>
      <w:bookmarkStart w:id="7" w:name="_Toc341992627"/>
      <w:bookmarkStart w:id="8" w:name="_Toc341991041"/>
      <w:bookmarkStart w:id="9" w:name="_Toc341993786"/>
      <w:r>
        <w:rPr>
          <w:rFonts w:hint="eastAsia" w:asciiTheme="minorEastAsia" w:hAnsiTheme="minorEastAsia" w:eastAsiaTheme="minorEastAsia"/>
          <w:b/>
          <w:bCs/>
          <w:sz w:val="52"/>
          <w:szCs w:val="52"/>
        </w:rPr>
        <w:t>南京交通职业技术学院在线考试系统</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r>
        <w:rPr>
          <w:rFonts w:hint="eastAsia" w:asciiTheme="minorEastAsia" w:hAnsiTheme="minorEastAsia" w:eastAsiaTheme="minorEastAsia"/>
          <w:b/>
          <w:bCs/>
          <w:sz w:val="52"/>
          <w:szCs w:val="52"/>
        </w:rPr>
        <w:t>竞争性磋商文件</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32"/>
          <w:szCs w:val="32"/>
          <w:lang w:val="en-US" w:eastAsia="zh-CN"/>
        </w:rPr>
      </w:pPr>
      <w:r>
        <w:rPr>
          <w:rFonts w:hint="eastAsia" w:asciiTheme="minorEastAsia" w:hAnsiTheme="minorEastAsia" w:eastAsiaTheme="minorEastAsia"/>
          <w:b/>
          <w:bCs/>
          <w:sz w:val="32"/>
          <w:szCs w:val="32"/>
          <w:lang w:val="zh-CN"/>
        </w:rPr>
        <w:t>采购编号：JY20180</w:t>
      </w:r>
      <w:r>
        <w:rPr>
          <w:rFonts w:hint="eastAsia" w:asciiTheme="minorEastAsia" w:hAnsiTheme="minorEastAsia" w:eastAsiaTheme="minorEastAsia"/>
          <w:b/>
          <w:bCs/>
          <w:sz w:val="32"/>
          <w:szCs w:val="32"/>
          <w:lang w:val="en-US" w:eastAsia="zh-CN"/>
        </w:rPr>
        <w:t>98</w:t>
      </w: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rPr>
      </w:pPr>
    </w:p>
    <w:p>
      <w:pPr>
        <w:jc w:val="center"/>
        <w:rPr>
          <w:rFonts w:hint="eastAsia" w:asciiTheme="minorEastAsia" w:hAnsiTheme="minorEastAsia" w:eastAsiaTheme="minorEastAsia"/>
          <w:b/>
          <w:bCs/>
          <w:sz w:val="52"/>
          <w:szCs w:val="52"/>
          <w:lang w:val="zh-CN"/>
        </w:rPr>
      </w:pPr>
    </w:p>
    <w:p>
      <w:pPr>
        <w:jc w:val="center"/>
        <w:rPr>
          <w:rFonts w:hint="eastAsia" w:asciiTheme="minorEastAsia" w:hAnsiTheme="minorEastAsia" w:eastAsiaTheme="minorEastAsia"/>
          <w:b/>
          <w:bCs/>
          <w:sz w:val="32"/>
          <w:szCs w:val="32"/>
          <w:lang w:val="zh-CN"/>
        </w:rPr>
      </w:pPr>
      <w:bookmarkStart w:id="10" w:name="_Toc15673"/>
      <w:r>
        <w:rPr>
          <w:rFonts w:hint="eastAsia" w:asciiTheme="minorEastAsia" w:hAnsiTheme="minorEastAsia" w:eastAsiaTheme="minorEastAsia"/>
          <w:b/>
          <w:bCs/>
          <w:sz w:val="32"/>
          <w:szCs w:val="32"/>
          <w:lang w:val="zh-CN"/>
        </w:rPr>
        <w:t>南京交通职业技术学院物资采购管理办公室</w:t>
      </w:r>
      <w:bookmarkEnd w:id="10"/>
    </w:p>
    <w:p>
      <w:pPr>
        <w:jc w:val="center"/>
        <w:rPr>
          <w:rFonts w:hint="eastAsia" w:asciiTheme="minorEastAsia" w:hAnsiTheme="minorEastAsia" w:eastAsiaTheme="minorEastAsia"/>
          <w:b/>
          <w:bCs/>
          <w:sz w:val="32"/>
          <w:szCs w:val="32"/>
          <w:lang w:val="zh-CN"/>
        </w:rPr>
      </w:pPr>
    </w:p>
    <w:p>
      <w:pPr>
        <w:jc w:val="center"/>
        <w:rPr>
          <w:rFonts w:hint="eastAsia" w:asciiTheme="minorEastAsia" w:hAnsiTheme="minorEastAsia" w:eastAsiaTheme="minorEastAsia"/>
          <w:b/>
          <w:bCs/>
          <w:sz w:val="32"/>
          <w:szCs w:val="32"/>
          <w:lang w:val="zh-CN"/>
        </w:rPr>
      </w:pPr>
      <w:r>
        <w:rPr>
          <w:rFonts w:hint="eastAsia" w:asciiTheme="minorEastAsia" w:hAnsiTheme="minorEastAsia" w:eastAsiaTheme="minorEastAsia"/>
          <w:b/>
          <w:bCs/>
          <w:sz w:val="32"/>
          <w:szCs w:val="32"/>
          <w:lang w:val="zh-CN"/>
        </w:rPr>
        <w:t>二〇一</w:t>
      </w:r>
      <w:r>
        <w:rPr>
          <w:rFonts w:hint="eastAsia" w:asciiTheme="minorEastAsia" w:hAnsiTheme="minorEastAsia" w:eastAsiaTheme="minorEastAsia"/>
          <w:b/>
          <w:bCs/>
          <w:sz w:val="32"/>
          <w:szCs w:val="32"/>
        </w:rPr>
        <w:t>八</w:t>
      </w:r>
      <w:r>
        <w:rPr>
          <w:rFonts w:hint="eastAsia" w:asciiTheme="minorEastAsia" w:hAnsiTheme="minorEastAsia" w:eastAsiaTheme="minorEastAsia"/>
          <w:b/>
          <w:bCs/>
          <w:sz w:val="32"/>
          <w:szCs w:val="32"/>
          <w:lang w:val="zh-CN"/>
        </w:rPr>
        <w:t>年</w:t>
      </w:r>
      <w:r>
        <w:rPr>
          <w:rFonts w:hint="eastAsia" w:asciiTheme="minorEastAsia" w:hAnsiTheme="minorEastAsia" w:eastAsiaTheme="minorEastAsia"/>
          <w:b/>
          <w:bCs/>
          <w:sz w:val="32"/>
          <w:szCs w:val="32"/>
          <w:lang w:val="en-US" w:eastAsia="zh-CN"/>
        </w:rPr>
        <w:t>七</w:t>
      </w:r>
      <w:r>
        <w:rPr>
          <w:rFonts w:hint="eastAsia" w:asciiTheme="minorEastAsia" w:hAnsiTheme="minorEastAsia" w:eastAsiaTheme="minorEastAsia"/>
          <w:b/>
          <w:bCs/>
          <w:sz w:val="32"/>
          <w:szCs w:val="32"/>
          <w:lang w:val="zh-CN"/>
        </w:rPr>
        <w:t>月</w:t>
      </w:r>
    </w:p>
    <w:p>
      <w:pPr>
        <w:jc w:val="center"/>
        <w:rPr>
          <w:rFonts w:hint="eastAsia" w:ascii="仿宋_GB2312" w:hAnsi="仿宋_GB2312" w:eastAsia="仿宋_GB2312" w:cs="仿宋_GB2312"/>
          <w:b/>
          <w:sz w:val="28"/>
          <w:szCs w:val="28"/>
        </w:rPr>
      </w:pPr>
      <w:r>
        <w:rPr>
          <w:rFonts w:hint="eastAsia" w:asciiTheme="minorEastAsia" w:hAnsiTheme="minorEastAsia" w:eastAsiaTheme="minorEastAsia"/>
          <w:b/>
          <w:bCs/>
          <w:sz w:val="52"/>
          <w:szCs w:val="52"/>
        </w:rPr>
        <w:br w:type="page"/>
      </w:r>
      <w:bookmarkStart w:id="11" w:name="_Toc513029200"/>
      <w:bookmarkStart w:id="12" w:name="_Toc523127445"/>
      <w:bookmarkStart w:id="13" w:name="_Toc20823272"/>
      <w:bookmarkStart w:id="14" w:name="_Toc16938516"/>
      <w:bookmarkStart w:id="15" w:name="_Toc403987193"/>
      <w:bookmarkStart w:id="16" w:name="_Toc120614210"/>
      <w:bookmarkStart w:id="17" w:name="_Toc403986986"/>
      <w:bookmarkStart w:id="18" w:name="_Toc479757206"/>
      <w:r>
        <w:rPr>
          <w:rFonts w:hint="eastAsia" w:ascii="仿宋_GB2312" w:hAnsi="仿宋_GB2312" w:eastAsia="仿宋_GB2312" w:cs="仿宋_GB2312"/>
          <w:b/>
          <w:sz w:val="28"/>
          <w:szCs w:val="28"/>
        </w:rPr>
        <w:t>目  录</w:t>
      </w:r>
      <w:bookmarkEnd w:id="11"/>
      <w:bookmarkEnd w:id="12"/>
      <w:bookmarkEnd w:id="13"/>
      <w:bookmarkEnd w:id="14"/>
      <w:bookmarkEnd w:id="15"/>
      <w:bookmarkEnd w:id="16"/>
      <w:bookmarkEnd w:id="17"/>
      <w:bookmarkEnd w:id="18"/>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fldChar w:fldCharType="begin"/>
      </w:r>
      <w:r>
        <w:rPr>
          <w:rFonts w:hint="eastAsia" w:ascii="仿宋_GB2312" w:hAnsi="仿宋_GB2312" w:eastAsia="仿宋_GB2312" w:cs="仿宋_GB2312"/>
          <w:b w:val="0"/>
          <w:sz w:val="28"/>
          <w:szCs w:val="28"/>
        </w:rPr>
        <w:instrText xml:space="preserve"> TOC \o "1-1" \h \z \u </w:instrText>
      </w:r>
      <w:r>
        <w:rPr>
          <w:rFonts w:hint="eastAsia" w:ascii="仿宋_GB2312" w:hAnsi="仿宋_GB2312" w:eastAsia="仿宋_GB2312" w:cs="仿宋_GB2312"/>
          <w:b w:val="0"/>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第一章  竞争性磋商公告</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_Toc29158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须知</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_Toc19376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第三章  成交标准</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_Toc3054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xml:space="preserve">第四章 </w:t>
      </w:r>
      <w:r>
        <w:rPr>
          <w:rFonts w:hint="eastAsia" w:ascii="仿宋_GB2312" w:hAnsi="仿宋_GB2312" w:eastAsia="仿宋_GB2312" w:cs="仿宋_GB2312"/>
          <w:sz w:val="28"/>
          <w:szCs w:val="28"/>
          <w:lang w:val="zh-CN"/>
        </w:rPr>
        <w:t>合同草案条款</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_Toc31763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第五章  采购需求</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_Toc3061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19</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10"/>
        <w:tabs>
          <w:tab w:val="right" w:leader="dot" w:pos="907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第六章  响应文件格式</w:t>
      </w:r>
      <w:r>
        <w:rPr>
          <w:rFonts w:hint="eastAsia" w:ascii="仿宋_GB2312" w:hAnsi="仿宋_GB2312" w:eastAsia="仿宋_GB2312" w:cs="仿宋_GB2312"/>
          <w:sz w:val="28"/>
          <w:szCs w:val="28"/>
        </w:rPr>
        <w:tab/>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PAGEREF _Toc8848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22</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fldChar w:fldCharType="end"/>
      </w:r>
    </w:p>
    <w:p>
      <w:pPr>
        <w:pStyle w:val="3"/>
        <w:keepNext w:val="0"/>
        <w:keepLines w:val="0"/>
        <w:numPr>
          <w:ilvl w:val="0"/>
          <w:numId w:val="0"/>
        </w:numPr>
        <w:spacing w:before="0" w:after="0" w:line="360" w:lineRule="auto"/>
        <w:jc w:val="both"/>
        <w:rPr>
          <w:rFonts w:hint="eastAsia" w:ascii="仿宋_GB2312" w:hAnsi="仿宋_GB2312" w:eastAsia="仿宋_GB2312" w:cs="仿宋_GB2312"/>
          <w:b w:val="0"/>
          <w:sz w:val="28"/>
          <w:szCs w:val="28"/>
        </w:rPr>
      </w:pPr>
      <w:r>
        <w:rPr>
          <w:rFonts w:hint="eastAsia" w:ascii="仿宋_GB2312" w:hAnsi="仿宋_GB2312" w:eastAsia="仿宋_GB2312" w:cs="仿宋_GB2312"/>
          <w:sz w:val="28"/>
          <w:szCs w:val="28"/>
        </w:rPr>
        <w:fldChar w:fldCharType="end"/>
      </w:r>
    </w:p>
    <w:p>
      <w:pPr>
        <w:jc w:val="both"/>
        <w:outlineLvl w:val="0"/>
        <w:rPr>
          <w:rFonts w:hint="eastAsia" w:ascii="仿宋_GB2312" w:hAnsi="仿宋_GB2312" w:eastAsia="仿宋_GB2312" w:cs="仿宋_GB2312"/>
          <w:b/>
          <w:sz w:val="28"/>
          <w:szCs w:val="28"/>
        </w:rPr>
      </w:pPr>
    </w:p>
    <w:p>
      <w:pPr>
        <w:jc w:val="both"/>
        <w:outlineLvl w:val="0"/>
        <w:rPr>
          <w:rFonts w:hint="eastAsia" w:ascii="仿宋_GB2312" w:hAnsi="仿宋_GB2312" w:eastAsia="仿宋_GB2312" w:cs="仿宋_GB2312"/>
          <w:b/>
          <w:sz w:val="28"/>
          <w:szCs w:val="28"/>
        </w:rPr>
        <w:sectPr>
          <w:footerReference r:id="rId3" w:type="default"/>
          <w:footerReference r:id="rId4" w:type="even"/>
          <w:pgSz w:w="11906" w:h="16838"/>
          <w:pgMar w:top="1701" w:right="1418" w:bottom="1418" w:left="1418" w:header="851" w:footer="851" w:gutter="0"/>
          <w:pgNumType w:fmt="upperRoman" w:start="1"/>
          <w:cols w:space="425" w:num="1"/>
          <w:docGrid w:linePitch="312" w:charSpace="0"/>
        </w:sectPr>
      </w:pPr>
    </w:p>
    <w:bookmarkEnd w:id="0"/>
    <w:bookmarkEnd w:id="1"/>
    <w:bookmarkEnd w:id="2"/>
    <w:bookmarkEnd w:id="3"/>
    <w:bookmarkEnd w:id="4"/>
    <w:bookmarkEnd w:id="5"/>
    <w:bookmarkEnd w:id="6"/>
    <w:bookmarkEnd w:id="7"/>
    <w:bookmarkEnd w:id="8"/>
    <w:bookmarkEnd w:id="9"/>
    <w:p>
      <w:pPr>
        <w:pStyle w:val="2"/>
        <w:keepNext w:val="0"/>
        <w:keepLines w:val="0"/>
        <w:jc w:val="center"/>
        <w:rPr>
          <w:rFonts w:hint="eastAsia" w:ascii="仿宋_GB2312" w:hAnsi="仿宋_GB2312" w:eastAsia="仿宋_GB2312" w:cs="仿宋_GB2312"/>
          <w:sz w:val="28"/>
          <w:szCs w:val="28"/>
        </w:rPr>
      </w:pPr>
      <w:bookmarkStart w:id="19" w:name="_Toc29158"/>
      <w:bookmarkStart w:id="20" w:name="OLE_LINK1"/>
      <w:bookmarkStart w:id="21" w:name="OLE_LINK2"/>
      <w:bookmarkStart w:id="22" w:name="_Toc120614281"/>
      <w:bookmarkStart w:id="23" w:name="_Toc26554093"/>
      <w:bookmarkStart w:id="24" w:name="_Toc49090575"/>
      <w:bookmarkStart w:id="25" w:name="_Toc479757211"/>
      <w:bookmarkStart w:id="26" w:name="_Toc462564139"/>
      <w:bookmarkStart w:id="27" w:name="_Toc342241487"/>
      <w:bookmarkStart w:id="28" w:name="_Toc337584644"/>
      <w:bookmarkStart w:id="29" w:name="_Toc341992710"/>
      <w:bookmarkStart w:id="30" w:name="_Toc342374716"/>
      <w:bookmarkStart w:id="31" w:name="_Toc337620620"/>
      <w:bookmarkStart w:id="32" w:name="_Ref352791871"/>
      <w:bookmarkStart w:id="33" w:name="_Toc337622690"/>
      <w:bookmarkStart w:id="34" w:name="_Toc341991044"/>
      <w:bookmarkStart w:id="35" w:name="_Toc337620800"/>
      <w:bookmarkStart w:id="36" w:name="_Toc342558384"/>
      <w:bookmarkStart w:id="37" w:name="_Toc337584958"/>
      <w:bookmarkStart w:id="38" w:name="_Toc403401434"/>
      <w:bookmarkStart w:id="39" w:name="_Toc337622790"/>
      <w:bookmarkStart w:id="40" w:name="_Toc337622278"/>
      <w:bookmarkStart w:id="41" w:name="_Toc341993788"/>
      <w:bookmarkStart w:id="42" w:name="_Toc337622640"/>
      <w:bookmarkStart w:id="43" w:name="_Toc342497332"/>
      <w:bookmarkStart w:id="44" w:name="_Toc342252863"/>
      <w:bookmarkStart w:id="45" w:name="_Toc366517151"/>
      <w:bookmarkStart w:id="46" w:name="_Toc341993114"/>
      <w:bookmarkStart w:id="47" w:name="_Toc365619242"/>
      <w:bookmarkStart w:id="48" w:name="_Toc337620692"/>
      <w:bookmarkStart w:id="49" w:name="_Toc403560410"/>
      <w:bookmarkStart w:id="50" w:name="_Toc337584877"/>
      <w:bookmarkStart w:id="51" w:name="_Toc341988484"/>
      <w:bookmarkStart w:id="52" w:name="_Toc337622251"/>
      <w:bookmarkStart w:id="53" w:name="_Toc341992630"/>
      <w:bookmarkStart w:id="54" w:name="_Toc337622983"/>
      <w:bookmarkStart w:id="55" w:name="_Toc337622372"/>
      <w:bookmarkStart w:id="56" w:name="_Toc373781378"/>
      <w:bookmarkStart w:id="57" w:name="_Toc337622590"/>
      <w:r>
        <w:rPr>
          <w:rFonts w:hint="eastAsia" w:ascii="仿宋_GB2312" w:hAnsi="仿宋_GB2312" w:eastAsia="仿宋_GB2312" w:cs="仿宋_GB2312"/>
          <w:sz w:val="28"/>
          <w:szCs w:val="28"/>
        </w:rPr>
        <w:t>第一章  竞争性磋商公告</w:t>
      </w:r>
      <w:bookmarkEnd w:id="19"/>
    </w:p>
    <w:p>
      <w:pPr>
        <w:ind w:firstLine="560" w:firstLineChars="200"/>
        <w:jc w:val="both"/>
        <w:rPr>
          <w:rFonts w:hint="eastAsia" w:ascii="仿宋_GB2312" w:hAnsi="仿宋_GB2312" w:eastAsia="仿宋_GB2312" w:cs="仿宋_GB2312"/>
          <w:sz w:val="28"/>
          <w:szCs w:val="28"/>
          <w:lang w:val="zh-CN"/>
        </w:rPr>
      </w:pPr>
      <w:bookmarkStart w:id="58" w:name="_Toc403987195"/>
      <w:r>
        <w:rPr>
          <w:rFonts w:hint="eastAsia" w:ascii="仿宋_GB2312" w:hAnsi="仿宋_GB2312" w:eastAsia="仿宋_GB2312" w:cs="仿宋_GB2312"/>
          <w:sz w:val="28"/>
          <w:szCs w:val="28"/>
          <w:lang w:val="zh-CN"/>
        </w:rPr>
        <w:t>南京交通职业技术学院物资采购管理办公室受</w:t>
      </w:r>
      <w:r>
        <w:rPr>
          <w:rFonts w:hint="eastAsia" w:ascii="仿宋_GB2312" w:hAnsi="仿宋_GB2312" w:eastAsia="仿宋_GB2312" w:cs="仿宋_GB2312"/>
          <w:kern w:val="2"/>
          <w:sz w:val="28"/>
          <w:szCs w:val="28"/>
          <w:lang w:val="en-US" w:eastAsia="zh-CN"/>
        </w:rPr>
        <w:t>教务</w:t>
      </w:r>
      <w:r>
        <w:rPr>
          <w:rFonts w:hint="eastAsia" w:ascii="仿宋_GB2312" w:hAnsi="仿宋_GB2312" w:eastAsia="仿宋_GB2312" w:cs="仿宋_GB2312"/>
          <w:kern w:val="2"/>
          <w:sz w:val="28"/>
          <w:szCs w:val="28"/>
        </w:rPr>
        <w:t>处</w:t>
      </w:r>
      <w:r>
        <w:rPr>
          <w:rFonts w:hint="eastAsia" w:ascii="仿宋_GB2312" w:hAnsi="仿宋_GB2312" w:eastAsia="仿宋_GB2312" w:cs="仿宋_GB2312"/>
          <w:sz w:val="28"/>
          <w:szCs w:val="28"/>
          <w:lang w:val="zh-CN"/>
        </w:rPr>
        <w:t>委托，就</w:t>
      </w:r>
      <w:r>
        <w:rPr>
          <w:rFonts w:hint="eastAsia" w:ascii="仿宋_GB2312" w:hAnsi="仿宋_GB2312" w:eastAsia="仿宋_GB2312" w:cs="仿宋_GB2312"/>
          <w:kern w:val="2"/>
          <w:sz w:val="28"/>
          <w:szCs w:val="28"/>
        </w:rPr>
        <w:t>其在线考试系统采购</w:t>
      </w:r>
      <w:r>
        <w:rPr>
          <w:rFonts w:hint="eastAsia" w:ascii="仿宋_GB2312" w:hAnsi="仿宋_GB2312" w:eastAsia="仿宋_GB2312" w:cs="仿宋_GB2312"/>
          <w:sz w:val="28"/>
          <w:szCs w:val="28"/>
          <w:lang w:val="zh-CN"/>
        </w:rPr>
        <w:t>项目进行竞争性磋商采购，兹邀请符合资格条件的响应商提交响应文件和磋商。</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一、竞争性磋商项目名称及编号</w:t>
      </w:r>
      <w:bookmarkEnd w:id="58"/>
    </w:p>
    <w:p>
      <w:pPr>
        <w:jc w:val="both"/>
        <w:rPr>
          <w:rFonts w:hint="eastAsia" w:ascii="仿宋_GB2312" w:hAnsi="仿宋_GB2312" w:eastAsia="仿宋_GB2312" w:cs="仿宋_GB2312"/>
          <w:kern w:val="2"/>
          <w:sz w:val="28"/>
          <w:szCs w:val="28"/>
        </w:rPr>
      </w:pPr>
      <w:r>
        <w:rPr>
          <w:rFonts w:hint="eastAsia" w:ascii="仿宋_GB2312" w:hAnsi="仿宋_GB2312" w:eastAsia="仿宋_GB2312" w:cs="仿宋_GB2312"/>
          <w:kern w:val="2"/>
          <w:sz w:val="28"/>
          <w:szCs w:val="28"/>
        </w:rPr>
        <w:t xml:space="preserve">    项目名称：在线考试系统</w:t>
      </w:r>
    </w:p>
    <w:p>
      <w:pPr>
        <w:pStyle w:val="19"/>
        <w:numPr>
          <w:ilvl w:val="0"/>
          <w:numId w:val="0"/>
        </w:numPr>
        <w:ind w:firstLine="560" w:firstLineChars="200"/>
        <w:jc w:val="both"/>
        <w:rPr>
          <w:rFonts w:hint="eastAsia" w:ascii="仿宋_GB2312" w:hAnsi="仿宋_GB2312" w:eastAsia="仿宋_GB2312" w:cs="仿宋_GB2312"/>
          <w:b w:val="0"/>
          <w:kern w:val="2"/>
          <w:sz w:val="28"/>
          <w:szCs w:val="28"/>
          <w:lang w:val="en-US" w:eastAsia="zh-CN" w:bidi="ar-SA"/>
        </w:rPr>
      </w:pPr>
      <w:r>
        <w:rPr>
          <w:rFonts w:hint="eastAsia" w:ascii="仿宋_GB2312" w:hAnsi="仿宋_GB2312" w:eastAsia="仿宋_GB2312" w:cs="仿宋_GB2312"/>
          <w:b w:val="0"/>
          <w:kern w:val="2"/>
          <w:sz w:val="28"/>
          <w:szCs w:val="28"/>
          <w:lang w:val="en-US" w:eastAsia="zh-CN" w:bidi="ar-SA"/>
        </w:rPr>
        <w:t>项目编号：</w:t>
      </w:r>
      <w:bookmarkStart w:id="59" w:name="_Toc403987196"/>
      <w:r>
        <w:rPr>
          <w:rFonts w:hint="eastAsia" w:ascii="仿宋_GB2312" w:hAnsi="仿宋_GB2312" w:eastAsia="仿宋_GB2312" w:cs="仿宋_GB2312"/>
          <w:b w:val="0"/>
          <w:kern w:val="2"/>
          <w:sz w:val="28"/>
          <w:szCs w:val="28"/>
          <w:lang w:val="en-US" w:eastAsia="zh-CN" w:bidi="ar-SA"/>
        </w:rPr>
        <w:t>JY2018098</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二、竞争性磋商项目简要说明</w:t>
      </w:r>
      <w:bookmarkEnd w:id="59"/>
    </w:p>
    <w:p>
      <w:pPr>
        <w:pStyle w:val="6"/>
        <w:ind w:firstLine="548" w:firstLineChars="196"/>
        <w:jc w:val="both"/>
        <w:rPr>
          <w:rFonts w:hint="eastAsia" w:ascii="仿宋_GB2312" w:hAnsi="仿宋_GB2312" w:eastAsia="仿宋_GB2312" w:cs="仿宋_GB2312"/>
          <w:kern w:val="2"/>
          <w:sz w:val="28"/>
          <w:szCs w:val="28"/>
          <w:lang w:val="en-US" w:eastAsia="zh-CN" w:bidi="ar-SA"/>
        </w:rPr>
      </w:pPr>
      <w:bookmarkStart w:id="60" w:name="_Toc403987197"/>
      <w:r>
        <w:rPr>
          <w:rFonts w:hint="eastAsia" w:ascii="仿宋_GB2312" w:hAnsi="仿宋_GB2312" w:eastAsia="仿宋_GB2312" w:cs="仿宋_GB2312"/>
          <w:kern w:val="2"/>
          <w:sz w:val="28"/>
          <w:szCs w:val="28"/>
          <w:lang w:val="en-US" w:eastAsia="zh-CN" w:bidi="ar-SA"/>
        </w:rPr>
        <w:t>本次采购的是在线考试系统。</w:t>
      </w:r>
    </w:p>
    <w:p>
      <w:pPr>
        <w:widowControl/>
        <w:shd w:val="clear" w:color="auto" w:fill="FFFFFF"/>
        <w:ind w:firstLine="420"/>
        <w:jc w:val="both"/>
        <w:rPr>
          <w:rFonts w:hint="eastAsia" w:ascii="仿宋_GB2312" w:hAnsi="仿宋_GB2312" w:eastAsia="仿宋_GB2312" w:cs="仿宋_GB2312"/>
          <w:spacing w:val="9"/>
          <w:sz w:val="28"/>
          <w:szCs w:val="28"/>
        </w:rPr>
      </w:pPr>
      <w:r>
        <w:rPr>
          <w:rFonts w:hint="eastAsia" w:ascii="仿宋_GB2312" w:hAnsi="仿宋_GB2312" w:eastAsia="仿宋_GB2312" w:cs="仿宋_GB2312"/>
          <w:spacing w:val="9"/>
          <w:sz w:val="28"/>
          <w:szCs w:val="28"/>
        </w:rPr>
        <w:t>项目预算</w:t>
      </w:r>
      <w:r>
        <w:rPr>
          <w:rFonts w:hint="eastAsia" w:ascii="仿宋_GB2312" w:hAnsi="仿宋_GB2312" w:eastAsia="仿宋_GB2312" w:cs="仿宋_GB2312"/>
          <w:spacing w:val="9"/>
          <w:sz w:val="28"/>
          <w:szCs w:val="28"/>
          <w:lang w:val="en-US" w:eastAsia="zh-CN"/>
        </w:rPr>
        <w:t>6</w:t>
      </w:r>
      <w:r>
        <w:rPr>
          <w:rFonts w:hint="eastAsia" w:ascii="仿宋_GB2312" w:hAnsi="仿宋_GB2312" w:eastAsia="仿宋_GB2312" w:cs="仿宋_GB2312"/>
          <w:spacing w:val="9"/>
          <w:sz w:val="28"/>
          <w:szCs w:val="28"/>
        </w:rPr>
        <w:t>万元人民币。项目的技术规格、要求和数量等详见第五章。</w:t>
      </w:r>
    </w:p>
    <w:p>
      <w:pPr>
        <w:pStyle w:val="19"/>
        <w:numPr>
          <w:ilvl w:val="0"/>
          <w:numId w:val="0"/>
        </w:num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资格</w:t>
      </w:r>
      <w:bookmarkEnd w:id="60"/>
      <w:r>
        <w:rPr>
          <w:rFonts w:hint="eastAsia" w:ascii="仿宋_GB2312" w:hAnsi="仿宋_GB2312" w:eastAsia="仿宋_GB2312" w:cs="仿宋_GB2312"/>
          <w:sz w:val="28"/>
          <w:szCs w:val="28"/>
        </w:rPr>
        <w:t>条件</w:t>
      </w:r>
    </w:p>
    <w:p>
      <w:pPr>
        <w:ind w:firstLine="560" w:firstLineChars="200"/>
        <w:jc w:val="both"/>
        <w:rPr>
          <w:rFonts w:hint="eastAsia" w:ascii="仿宋_GB2312" w:hAnsi="仿宋_GB2312" w:eastAsia="仿宋_GB2312" w:cs="仿宋_GB2312"/>
          <w:bCs/>
          <w:snapToGrid w:val="0"/>
          <w:sz w:val="28"/>
          <w:szCs w:val="28"/>
        </w:rPr>
      </w:pPr>
      <w:bookmarkStart w:id="61" w:name="_Toc403987198"/>
      <w:r>
        <w:rPr>
          <w:rFonts w:hint="eastAsia" w:ascii="仿宋_GB2312" w:hAnsi="仿宋_GB2312" w:eastAsia="仿宋_GB2312" w:cs="仿宋_GB2312"/>
          <w:bCs/>
          <w:snapToGrid w:val="0"/>
          <w:sz w:val="28"/>
          <w:szCs w:val="28"/>
        </w:rPr>
        <w:t>3.1 《中华人民共和国政府采购法》规定的条件（并根据《中华人民共和国政府采购法实施条例》提供相关证明材料）：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（1）具有独立承担民事责任的能力（请提供法人或者其他组织的营业执照等证明文件，自然人的身份证明）；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（2）具有良好的商业信誉和健全的财务会计制度（请提供上一年度</w:t>
      </w:r>
      <w:r>
        <w:rPr>
          <w:rFonts w:hint="eastAsia" w:ascii="仿宋_GB2312" w:hAnsi="仿宋_GB2312" w:eastAsia="仿宋_GB2312" w:cs="仿宋_GB2312"/>
          <w:bCs/>
          <w:snapToGrid w:val="0"/>
          <w:sz w:val="28"/>
          <w:szCs w:val="28"/>
          <w:lang w:val="en-US" w:eastAsia="zh-CN"/>
        </w:rPr>
        <w:t>经审计的</w:t>
      </w:r>
      <w:r>
        <w:rPr>
          <w:rFonts w:hint="eastAsia" w:ascii="仿宋_GB2312" w:hAnsi="仿宋_GB2312" w:eastAsia="仿宋_GB2312" w:cs="仿宋_GB2312"/>
          <w:bCs/>
          <w:snapToGrid w:val="0"/>
          <w:sz w:val="28"/>
          <w:szCs w:val="28"/>
        </w:rPr>
        <w:t>财务报告，或供响应文件递交截止时间前六个月中任一个月其基本开户银行出具的资信证明，或财政部门认可的政府采购专业担保机构出具的投标担保函）；</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（3）具有履行合同所必需的设备和专业技术能力（请提供具备履行合同所必需的设备和专业技术能力的证明材料）；</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（4）有依法缴纳税收和社会保障资金的良好记录（请提供响应文件递交截止时间前六个月中任一个月纳税的凭据，或依法免税的证明文件</w:t>
      </w:r>
      <w:r>
        <w:rPr>
          <w:rFonts w:hint="eastAsia" w:ascii="仿宋_GB2312" w:hAnsi="仿宋_GB2312" w:eastAsia="仿宋_GB2312" w:cs="仿宋_GB2312"/>
          <w:bCs/>
          <w:snapToGrid w:val="0"/>
          <w:sz w:val="28"/>
          <w:szCs w:val="28"/>
          <w:lang w:val="en-US" w:eastAsia="zh-CN"/>
        </w:rPr>
        <w:t>和</w:t>
      </w:r>
      <w:r>
        <w:rPr>
          <w:rFonts w:hint="eastAsia" w:ascii="仿宋_GB2312" w:hAnsi="仿宋_GB2312" w:eastAsia="仿宋_GB2312" w:cs="仿宋_GB2312"/>
          <w:bCs/>
          <w:snapToGrid w:val="0"/>
          <w:sz w:val="28"/>
          <w:szCs w:val="28"/>
        </w:rPr>
        <w:t>缴纳社会保险的专用收据或社会保险缴纳清单，或不需要缴纳社会保障资金的证明文件）；</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（5）参加政府采购活动仅三年内，在经营活动中没有违法记录（请提供参加政府采购活动近3年内在经营活动中没有违法记录的书面声明）；</w:t>
      </w:r>
    </w:p>
    <w:p>
      <w:pPr>
        <w:ind w:firstLine="560" w:firstLineChars="200"/>
        <w:jc w:val="both"/>
        <w:rPr>
          <w:rFonts w:hint="eastAsia" w:ascii="仿宋_GB2312" w:hAnsi="仿宋_GB2312" w:eastAsia="仿宋_GB2312" w:cs="仿宋_GB2312"/>
          <w:bCs/>
          <w:snapToGrid w:val="0"/>
          <w:sz w:val="28"/>
          <w:szCs w:val="28"/>
        </w:rPr>
      </w:pPr>
      <w:r>
        <w:rPr>
          <w:rFonts w:hint="eastAsia" w:ascii="仿宋_GB2312" w:hAnsi="仿宋_GB2312" w:eastAsia="仿宋_GB2312" w:cs="仿宋_GB2312"/>
          <w:bCs/>
          <w:snapToGrid w:val="0"/>
          <w:sz w:val="28"/>
          <w:szCs w:val="28"/>
        </w:rPr>
        <w:t>（6）法律、行政法规规定的其他条件。</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napToGrid w:val="0"/>
          <w:sz w:val="28"/>
          <w:szCs w:val="28"/>
        </w:rPr>
        <w:t>3.2</w:t>
      </w:r>
      <w:r>
        <w:rPr>
          <w:rFonts w:hint="eastAsia" w:ascii="仿宋_GB2312" w:hAnsi="仿宋_GB2312" w:eastAsia="仿宋_GB2312" w:cs="仿宋_GB2312"/>
          <w:sz w:val="28"/>
          <w:szCs w:val="28"/>
        </w:rPr>
        <w:t>拒绝下述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参加本次采购活动：</w:t>
      </w:r>
    </w:p>
    <w:p>
      <w:pPr>
        <w:autoSpaceDE w:val="0"/>
        <w:autoSpaceDN w:val="0"/>
        <w:snapToGrid w:val="0"/>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单位负责人为同一人或者存在直接控股、管理关系的不同</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，不得参加同一合同项下的政府采购活动。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（2）凡为采购项目提供整体设计、规范编制或者项目管理、监理、检测等服务的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，不得再参加本项目的采购活动。</w:t>
      </w:r>
    </w:p>
    <w:p>
      <w:pPr>
        <w:autoSpaceDE w:val="0"/>
        <w:autoSpaceDN w:val="0"/>
        <w:snapToGrid w:val="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（3）拒绝列入失信被执行人、重大税收违法案件当事人名单、政府采购严重违法失信行为记录名单的</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参与政府采购活动。采购办在</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购买采购文件时，通过“信用中国”网站(www.creditchina.gov.cn)、中国政府采购网(www.ccgp.gov.cn) 、“诚信江苏”网站（www.jiangsu.gov.cn/jsxy/index.htm）等渠道查询</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在采购公告发布之日前的信用记录并保存。联合体成员存在不良信用记录的，视同联合体存在不良信用记录。</w:t>
      </w:r>
    </w:p>
    <w:p>
      <w:pPr>
        <w:autoSpaceDE w:val="0"/>
        <w:autoSpaceDN w:val="0"/>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3</w:t>
      </w:r>
      <w:r>
        <w:rPr>
          <w:rFonts w:hint="eastAsia" w:ascii="仿宋_GB2312" w:hAnsi="仿宋_GB2312" w:eastAsia="仿宋_GB2312" w:cs="仿宋_GB2312"/>
          <w:sz w:val="28"/>
          <w:szCs w:val="28"/>
        </w:rPr>
        <w:t xml:space="preserve"> 本项目不接受联合体响应。</w:t>
      </w:r>
    </w:p>
    <w:p>
      <w:pPr>
        <w:pStyle w:val="19"/>
        <w:numPr>
          <w:ilvl w:val="0"/>
          <w:numId w:val="0"/>
        </w:numPr>
        <w:ind w:left="980" w:hanging="98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四、竞争性磋商文件发布信息</w:t>
      </w:r>
      <w:bookmarkEnd w:id="61"/>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竞争性磋商文件发布时间：自竞争性磋商公告在“南京交通职业技术学院采购网”发布之日起至响应文件开启时间止。登陆南京交通职业技术学院采购网下载电子磋商文件。</w:t>
      </w:r>
    </w:p>
    <w:p>
      <w:pPr>
        <w:pStyle w:val="19"/>
        <w:numPr>
          <w:ilvl w:val="0"/>
          <w:numId w:val="0"/>
        </w:numPr>
        <w:ind w:left="980" w:hanging="980"/>
        <w:jc w:val="both"/>
        <w:rPr>
          <w:rFonts w:hint="eastAsia" w:ascii="仿宋_GB2312" w:hAnsi="仿宋_GB2312" w:eastAsia="仿宋_GB2312" w:cs="仿宋_GB2312"/>
          <w:sz w:val="28"/>
          <w:szCs w:val="28"/>
        </w:rPr>
      </w:pPr>
      <w:bookmarkStart w:id="62" w:name="_Toc403987199"/>
      <w:r>
        <w:rPr>
          <w:rFonts w:hint="eastAsia" w:ascii="仿宋_GB2312" w:hAnsi="仿宋_GB2312" w:eastAsia="仿宋_GB2312" w:cs="仿宋_GB2312"/>
          <w:sz w:val="28"/>
          <w:szCs w:val="28"/>
        </w:rPr>
        <w:t>五、响应报名、文件制作、接收及开启信息</w:t>
      </w:r>
      <w:bookmarkEnd w:id="62"/>
    </w:p>
    <w:p>
      <w:pPr>
        <w:pStyle w:val="21"/>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（一）响应报名：</w:t>
      </w:r>
    </w:p>
    <w:p>
      <w:pPr>
        <w:pStyle w:val="21"/>
        <w:ind w:firstLine="56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"mailto:凡有意参加投标者，请于2017年7月4日前将投标函发送至邮箱cgb@njitt.edu.cn，采购办不接受没有报名确认的询价文件。"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bCs/>
          <w:sz w:val="28"/>
          <w:szCs w:val="28"/>
        </w:rPr>
        <w:t>凡有意参加的响应商，请于2018年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23</w:t>
      </w:r>
      <w:r>
        <w:rPr>
          <w:rFonts w:hint="eastAsia" w:ascii="仿宋_GB2312" w:hAnsi="仿宋_GB2312" w:eastAsia="仿宋_GB2312" w:cs="仿宋_GB2312"/>
          <w:bCs/>
          <w:sz w:val="28"/>
          <w:szCs w:val="28"/>
        </w:rPr>
        <w:t>日前将确认函发送至邮箱cgb@njitt.edu.cn，采购办不接受没有报名确认的响应文件。</w:t>
      </w:r>
      <w:r>
        <w:rPr>
          <w:rFonts w:hint="eastAsia" w:ascii="仿宋_GB2312" w:hAnsi="仿宋_GB2312" w:eastAsia="仿宋_GB2312" w:cs="仿宋_GB2312"/>
          <w:bCs/>
          <w:sz w:val="28"/>
          <w:szCs w:val="28"/>
        </w:rPr>
        <w:fldChar w:fldCharType="end"/>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 xml:space="preserve">（二）响应文件制作要求：    </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1、响应文件的密封及标记要求：</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应将响应文件正本和所有副本分别密封在两个文件袋（箱）中（正本一包，副本一包），并在袋（箱）上标明“正本”、“副本”字样，封口处应加盖骑缝章或授权代表签字。</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2、封面格式为：</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（l）采购编号及项目名称：</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（2）</w:t>
      </w:r>
      <w:r>
        <w:rPr>
          <w:rFonts w:hint="eastAsia" w:ascii="仿宋_GB2312" w:hAnsi="仿宋_GB2312" w:eastAsia="仿宋_GB2312" w:cs="仿宋_GB2312"/>
          <w:bCs/>
          <w:sz w:val="28"/>
          <w:szCs w:val="28"/>
          <w:lang w:eastAsia="zh-CN"/>
        </w:rPr>
        <w:t>响应商</w:t>
      </w:r>
      <w:r>
        <w:rPr>
          <w:rFonts w:hint="eastAsia" w:ascii="仿宋_GB2312" w:hAnsi="仿宋_GB2312" w:eastAsia="仿宋_GB2312" w:cs="仿宋_GB2312"/>
          <w:bCs/>
          <w:sz w:val="28"/>
          <w:szCs w:val="28"/>
        </w:rPr>
        <w:t>的名称、地址、联系人、电话和传真：</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3、响应文件正、副本均须胶装，正本份数：1份，副本份数：2份。</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（三）响应文件接收时间：2018年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上午8</w:t>
      </w:r>
      <w:r>
        <w:rPr>
          <w:rFonts w:hint="eastAsia" w:ascii="仿宋_GB2312" w:hAnsi="仿宋_GB2312" w:eastAsia="仿宋_GB2312" w:cs="仿宋_GB2312"/>
          <w:bCs/>
          <w:sz w:val="28"/>
          <w:szCs w:val="28"/>
        </w:rPr>
        <w:t>：</w:t>
      </w:r>
      <w:r>
        <w:rPr>
          <w:rFonts w:hint="eastAsia" w:ascii="仿宋_GB2312" w:hAnsi="仿宋_GB2312" w:eastAsia="仿宋_GB2312" w:cs="仿宋_GB2312"/>
          <w:bCs/>
          <w:sz w:val="28"/>
          <w:szCs w:val="28"/>
          <w:lang w:val="en-US" w:eastAsia="zh-CN"/>
        </w:rPr>
        <w:t>4</w:t>
      </w:r>
      <w:r>
        <w:rPr>
          <w:rFonts w:hint="eastAsia" w:ascii="仿宋_GB2312" w:hAnsi="仿宋_GB2312" w:eastAsia="仿宋_GB2312" w:cs="仿宋_GB2312"/>
          <w:bCs/>
          <w:sz w:val="28"/>
          <w:szCs w:val="28"/>
        </w:rPr>
        <w:t>0</w:t>
      </w:r>
    </w:p>
    <w:p>
      <w:pPr>
        <w:pStyle w:val="21"/>
        <w:ind w:firstLine="42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（四）响应文件递交截止时间及开启时间：2018年</w:t>
      </w:r>
      <w:r>
        <w:rPr>
          <w:rFonts w:hint="eastAsia" w:ascii="仿宋_GB2312" w:hAnsi="仿宋_GB2312" w:eastAsia="仿宋_GB2312" w:cs="仿宋_GB2312"/>
          <w:bCs/>
          <w:sz w:val="28"/>
          <w:szCs w:val="28"/>
          <w:lang w:val="en-US" w:eastAsia="zh-CN"/>
        </w:rPr>
        <w:t>7</w:t>
      </w:r>
      <w:r>
        <w:rPr>
          <w:rFonts w:hint="eastAsia" w:ascii="仿宋_GB2312" w:hAnsi="仿宋_GB2312" w:eastAsia="仿宋_GB2312" w:cs="仿宋_GB2312"/>
          <w:bCs/>
          <w:sz w:val="28"/>
          <w:szCs w:val="28"/>
        </w:rPr>
        <w:t>月</w:t>
      </w:r>
      <w:r>
        <w:rPr>
          <w:rFonts w:hint="eastAsia" w:ascii="仿宋_GB2312" w:hAnsi="仿宋_GB2312" w:eastAsia="仿宋_GB2312" w:cs="仿宋_GB2312"/>
          <w:bCs/>
          <w:sz w:val="28"/>
          <w:szCs w:val="28"/>
          <w:lang w:val="en-US" w:eastAsia="zh-CN"/>
        </w:rPr>
        <w:t>25</w:t>
      </w:r>
      <w:r>
        <w:rPr>
          <w:rFonts w:hint="eastAsia" w:ascii="仿宋_GB2312" w:hAnsi="仿宋_GB2312" w:eastAsia="仿宋_GB2312" w:cs="仿宋_GB2312"/>
          <w:bCs/>
          <w:sz w:val="28"/>
          <w:szCs w:val="28"/>
        </w:rPr>
        <w:t>日</w:t>
      </w:r>
      <w:r>
        <w:rPr>
          <w:rFonts w:hint="eastAsia" w:ascii="仿宋_GB2312" w:hAnsi="仿宋_GB2312" w:eastAsia="仿宋_GB2312" w:cs="仿宋_GB2312"/>
          <w:bCs/>
          <w:sz w:val="28"/>
          <w:szCs w:val="28"/>
          <w:lang w:val="en-US" w:eastAsia="zh-CN"/>
        </w:rPr>
        <w:t>上午</w:t>
      </w:r>
      <w:r>
        <w:rPr>
          <w:rFonts w:hint="eastAsia" w:ascii="仿宋_GB2312" w:hAnsi="仿宋_GB2312" w:eastAsia="仿宋_GB2312" w:cs="仿宋_GB2312"/>
          <w:bCs/>
          <w:sz w:val="28"/>
          <w:szCs w:val="28"/>
        </w:rPr>
        <w:t>9：</w:t>
      </w:r>
      <w:r>
        <w:rPr>
          <w:rFonts w:hint="eastAsia" w:ascii="仿宋_GB2312" w:hAnsi="仿宋_GB2312" w:eastAsia="仿宋_GB2312" w:cs="仿宋_GB2312"/>
          <w:bCs/>
          <w:sz w:val="28"/>
          <w:szCs w:val="28"/>
          <w:lang w:val="en-US" w:eastAsia="zh-CN"/>
        </w:rPr>
        <w:t>0</w:t>
      </w:r>
      <w:r>
        <w:rPr>
          <w:rFonts w:hint="eastAsia" w:ascii="仿宋_GB2312" w:hAnsi="仿宋_GB2312" w:eastAsia="仿宋_GB2312" w:cs="仿宋_GB2312"/>
          <w:bCs/>
          <w:sz w:val="28"/>
          <w:szCs w:val="28"/>
        </w:rPr>
        <w:t xml:space="preserve">0 </w:t>
      </w:r>
    </w:p>
    <w:p>
      <w:pPr>
        <w:pStyle w:val="21"/>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响应文件接收及开启地点：南京市江宁区龙眠大道629号南京交通职业技术学院弘毅楼217。</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提交响应文件截止时间过后，采购办组织专家与响应商进行磋商，请响应商法定代表人或其授权委托代表出席。</w:t>
      </w:r>
    </w:p>
    <w:p>
      <w:pPr>
        <w:pStyle w:val="19"/>
        <w:numPr>
          <w:ilvl w:val="0"/>
          <w:numId w:val="0"/>
        </w:numPr>
        <w:jc w:val="both"/>
        <w:rPr>
          <w:rFonts w:hint="eastAsia" w:ascii="仿宋_GB2312" w:hAnsi="仿宋_GB2312" w:eastAsia="仿宋_GB2312" w:cs="仿宋_GB2312"/>
          <w:sz w:val="28"/>
          <w:szCs w:val="28"/>
        </w:rPr>
      </w:pPr>
      <w:bookmarkStart w:id="63" w:name="_Toc403987201"/>
      <w:r>
        <w:rPr>
          <w:rFonts w:hint="eastAsia" w:ascii="仿宋_GB2312" w:hAnsi="仿宋_GB2312" w:eastAsia="仿宋_GB2312" w:cs="仿宋_GB2312"/>
          <w:sz w:val="28"/>
          <w:szCs w:val="28"/>
        </w:rPr>
        <w:t>六、磋商保证金及磋商文件工本费</w:t>
      </w:r>
    </w:p>
    <w:p>
      <w:pPr>
        <w:pStyle w:val="19"/>
        <w:numPr>
          <w:ilvl w:val="0"/>
          <w:numId w:val="0"/>
        </w:numPr>
        <w:ind w:firstLine="560" w:firstLineChars="200"/>
        <w:jc w:val="both"/>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rPr>
        <w:t>磋商保证金：人民币壹千圆整  (现金密封好，现场递交)， 成交后转为履约保证金（履约保证金不足部分按合同规定金额补齐）。未能按合同及采购文件要求提供产品及服务，验收，质检不合格将扣除履约保证金。</w:t>
      </w:r>
      <w:r>
        <w:rPr>
          <w:rFonts w:hint="eastAsia" w:ascii="仿宋_GB2312" w:hAnsi="仿宋_GB2312" w:eastAsia="仿宋_GB2312" w:cs="仿宋_GB2312"/>
          <w:sz w:val="28"/>
          <w:szCs w:val="28"/>
        </w:rPr>
        <w:t>文件工本费</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200元，现场缴纳。</w:t>
      </w:r>
    </w:p>
    <w:p>
      <w:pPr>
        <w:pStyle w:val="19"/>
        <w:numPr>
          <w:ilvl w:val="1"/>
          <w:numId w:val="0"/>
        </w:numPr>
        <w:shd w:val="clear" w:color="auto"/>
        <w:ind w:leftChars="-350" w:firstLine="1405" w:firstLineChars="5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shd w:val="clear" w:color="auto" w:fill="auto"/>
          <w:lang w:val="en-US" w:eastAsia="zh-CN"/>
        </w:rPr>
        <w:t>七、</w:t>
      </w:r>
      <w:r>
        <w:rPr>
          <w:rFonts w:hint="eastAsia" w:ascii="仿宋_GB2312" w:hAnsi="仿宋_GB2312" w:eastAsia="仿宋_GB2312" w:cs="仿宋_GB2312"/>
          <w:sz w:val="28"/>
          <w:szCs w:val="28"/>
        </w:rPr>
        <w:t>本次竞争性磋商联系事项</w:t>
      </w:r>
      <w:bookmarkEnd w:id="63"/>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采购办：</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联系人：刘老师（男）</w:t>
      </w:r>
    </w:p>
    <w:p>
      <w:pPr>
        <w:widowControl/>
        <w:shd w:val="clear" w:color="auto" w:fill="FFFFFF"/>
        <w:ind w:firstLine="548" w:firstLineChars="196"/>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联系电话：025-86115873</w:t>
      </w:r>
    </w:p>
    <w:p>
      <w:pPr>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采购委托部门：</w:t>
      </w:r>
      <w:r>
        <w:rPr>
          <w:rFonts w:hint="eastAsia" w:ascii="仿宋_GB2312" w:hAnsi="仿宋_GB2312" w:eastAsia="仿宋_GB2312" w:cs="仿宋_GB2312"/>
          <w:b/>
          <w:sz w:val="28"/>
          <w:szCs w:val="28"/>
          <w:lang w:val="en-US" w:eastAsia="zh-CN"/>
        </w:rPr>
        <w:t>教务</w:t>
      </w:r>
      <w:r>
        <w:rPr>
          <w:rFonts w:hint="eastAsia" w:ascii="仿宋_GB2312" w:hAnsi="仿宋_GB2312" w:eastAsia="仿宋_GB2312" w:cs="仿宋_GB2312"/>
          <w:b/>
          <w:sz w:val="28"/>
          <w:szCs w:val="28"/>
        </w:rPr>
        <w:t>处</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联系人：</w:t>
      </w:r>
      <w:r>
        <w:rPr>
          <w:rFonts w:hint="eastAsia" w:ascii="仿宋_GB2312" w:hAnsi="仿宋_GB2312" w:eastAsia="仿宋_GB2312" w:cs="仿宋_GB2312"/>
          <w:sz w:val="28"/>
          <w:szCs w:val="28"/>
          <w:lang w:val="en-US" w:eastAsia="zh-CN"/>
        </w:rPr>
        <w:t>刘</w:t>
      </w:r>
      <w:r>
        <w:rPr>
          <w:rFonts w:hint="eastAsia" w:ascii="仿宋_GB2312" w:hAnsi="仿宋_GB2312" w:eastAsia="仿宋_GB2312" w:cs="仿宋_GB2312"/>
          <w:sz w:val="28"/>
          <w:szCs w:val="28"/>
        </w:rPr>
        <w:t>老师</w:t>
      </w:r>
    </w:p>
    <w:p>
      <w:pPr>
        <w:pStyle w:val="20"/>
        <w:numPr>
          <w:ilvl w:val="2"/>
          <w:numId w:val="0"/>
        </w:numPr>
        <w:ind w:firstLine="560" w:firstLineChars="200"/>
        <w:jc w:val="both"/>
        <w:rPr>
          <w:rFonts w:hint="eastAsia" w:ascii="仿宋_GB2312" w:hAnsi="仿宋_GB2312" w:eastAsia="仿宋_GB2312" w:cs="仿宋_GB2312"/>
          <w:b w:val="0"/>
          <w:bCs/>
          <w:color w:val="auto"/>
          <w:sz w:val="28"/>
          <w:szCs w:val="28"/>
          <w:lang w:val="en-US" w:eastAsia="zh-CN" w:bidi="ar-SA"/>
        </w:rPr>
      </w:pPr>
      <w:r>
        <w:rPr>
          <w:rFonts w:hint="eastAsia" w:ascii="仿宋_GB2312" w:hAnsi="仿宋_GB2312" w:eastAsia="仿宋_GB2312" w:cs="仿宋_GB2312"/>
          <w:b w:val="0"/>
          <w:bCs/>
          <w:color w:val="auto"/>
          <w:sz w:val="28"/>
          <w:szCs w:val="28"/>
          <w:lang w:val="en-US" w:eastAsia="zh-CN" w:bidi="ar-SA"/>
        </w:rPr>
        <w:t>联系电话：025-86115029</w:t>
      </w:r>
    </w:p>
    <w:p>
      <w:pPr>
        <w:pStyle w:val="21"/>
        <w:ind w:firstLine="0" w:firstLineChars="0"/>
        <w:jc w:val="both"/>
        <w:rPr>
          <w:rFonts w:hint="eastAsia" w:ascii="仿宋_GB2312" w:hAnsi="仿宋_GB2312" w:eastAsia="仿宋_GB2312" w:cs="仿宋_GB2312"/>
          <w:b/>
          <w:color w:val="auto"/>
          <w:sz w:val="28"/>
          <w:szCs w:val="28"/>
        </w:rPr>
      </w:pPr>
      <w:bookmarkStart w:id="64" w:name="_Toc304906076"/>
      <w:r>
        <w:rPr>
          <w:rFonts w:hint="eastAsia" w:ascii="仿宋_GB2312" w:hAnsi="仿宋_GB2312" w:eastAsia="仿宋_GB2312" w:cs="仿宋_GB2312"/>
          <w:b/>
          <w:color w:val="auto"/>
          <w:sz w:val="28"/>
          <w:szCs w:val="28"/>
        </w:rPr>
        <w:br w:type="page"/>
      </w:r>
    </w:p>
    <w:p>
      <w:pPr>
        <w:pStyle w:val="2"/>
        <w:keepNext w:val="0"/>
        <w:keepLines w:val="0"/>
        <w:jc w:val="center"/>
        <w:rPr>
          <w:rFonts w:hint="eastAsia" w:ascii="仿宋_GB2312" w:hAnsi="仿宋_GB2312" w:eastAsia="仿宋_GB2312" w:cs="仿宋_GB2312"/>
          <w:sz w:val="28"/>
          <w:szCs w:val="28"/>
        </w:rPr>
      </w:pPr>
      <w:bookmarkStart w:id="65" w:name="_Toc19376"/>
      <w:r>
        <w:rPr>
          <w:rFonts w:hint="eastAsia" w:ascii="仿宋_GB2312" w:hAnsi="仿宋_GB2312" w:eastAsia="仿宋_GB2312" w:cs="仿宋_GB2312"/>
          <w:sz w:val="28"/>
          <w:szCs w:val="28"/>
        </w:rPr>
        <w:t xml:space="preserve">第二章  </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商须知</w:t>
      </w:r>
      <w:bookmarkEnd w:id="65"/>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66" w:name="_Toc20823309"/>
      <w:bookmarkStart w:id="67" w:name="_Toc513029237"/>
      <w:bookmarkStart w:id="68" w:name="_Toc16938553"/>
      <w:r>
        <w:rPr>
          <w:rFonts w:hint="eastAsia" w:ascii="仿宋_GB2312" w:hAnsi="仿宋_GB2312" w:eastAsia="仿宋_GB2312" w:cs="仿宋_GB2312"/>
          <w:b/>
          <w:bCs/>
          <w:sz w:val="28"/>
          <w:szCs w:val="28"/>
          <w:lang w:val="zh-CN"/>
        </w:rPr>
        <w:t>一、总    则</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69" w:name="_Toc8689"/>
      <w:bookmarkStart w:id="70" w:name="_Toc487210474"/>
      <w:r>
        <w:rPr>
          <w:rFonts w:hint="eastAsia" w:ascii="仿宋_GB2312" w:hAnsi="仿宋_GB2312" w:eastAsia="仿宋_GB2312" w:cs="仿宋_GB2312"/>
          <w:b/>
          <w:sz w:val="28"/>
          <w:szCs w:val="28"/>
          <w:lang w:val="zh-CN"/>
        </w:rPr>
        <w:t>1、适用法律</w:t>
      </w:r>
      <w:bookmarkEnd w:id="69"/>
      <w:bookmarkEnd w:id="70"/>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 《中华人民共和国政府采购法》、《中华人民共和国政府采购法实施条例》、《政府采购非招标方式管理办法》等有关法律、规章和规定等。</w:t>
      </w:r>
    </w:p>
    <w:p>
      <w:pPr>
        <w:autoSpaceDE w:val="0"/>
        <w:autoSpaceDN w:val="0"/>
        <w:snapToGrid w:val="0"/>
        <w:ind w:firstLine="420"/>
        <w:jc w:val="both"/>
        <w:rPr>
          <w:rFonts w:hint="eastAsia" w:ascii="仿宋_GB2312" w:hAnsi="仿宋_GB2312" w:eastAsia="仿宋_GB2312" w:cs="仿宋_GB2312"/>
          <w:b/>
          <w:sz w:val="28"/>
          <w:szCs w:val="28"/>
          <w:lang w:val="zh-CN"/>
        </w:rPr>
      </w:pPr>
      <w:bookmarkStart w:id="71" w:name="_Toc487210475"/>
      <w:bookmarkStart w:id="72" w:name="_Toc15787"/>
      <w:r>
        <w:rPr>
          <w:rFonts w:hint="eastAsia" w:ascii="仿宋_GB2312" w:hAnsi="仿宋_GB2312" w:eastAsia="仿宋_GB2312" w:cs="仿宋_GB2312"/>
          <w:b/>
          <w:sz w:val="28"/>
          <w:szCs w:val="28"/>
          <w:lang w:val="zh-CN"/>
        </w:rPr>
        <w:t>2、定义</w:t>
      </w:r>
      <w:bookmarkEnd w:id="71"/>
      <w:bookmarkEnd w:id="72"/>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2.1 “</w:t>
      </w:r>
      <w:r>
        <w:rPr>
          <w:rFonts w:hint="eastAsia" w:ascii="仿宋_GB2312" w:hAnsi="仿宋_GB2312" w:eastAsia="仿宋_GB2312" w:cs="仿宋_GB2312"/>
          <w:b/>
          <w:sz w:val="28"/>
          <w:szCs w:val="28"/>
          <w:lang w:val="zh-CN"/>
        </w:rPr>
        <w:t>响应商</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是指参加磋商竞争，并符合采购文件规定资格条件的法人、其他组织或者自然人。</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2.2 “服务”指本采购文件中所述</w:t>
      </w:r>
      <w:r>
        <w:rPr>
          <w:rFonts w:hint="eastAsia" w:ascii="仿宋_GB2312" w:hAnsi="仿宋_GB2312" w:eastAsia="仿宋_GB2312" w:cs="仿宋_GB2312"/>
          <w:b/>
          <w:sz w:val="28"/>
          <w:szCs w:val="28"/>
          <w:lang w:val="zh-CN"/>
        </w:rPr>
        <w:t>产品</w:t>
      </w:r>
      <w:r>
        <w:rPr>
          <w:rFonts w:hint="eastAsia" w:ascii="仿宋_GB2312" w:hAnsi="仿宋_GB2312" w:eastAsia="仿宋_GB2312" w:cs="仿宋_GB2312"/>
          <w:sz w:val="28"/>
          <w:szCs w:val="28"/>
          <w:lang w:val="zh-CN"/>
        </w:rPr>
        <w:t>及相关服务。</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2.3 “用户或使用单位”是指使用服务的单位。</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3、政策功能</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3.1政府采购促进中小企业发展，</w:t>
      </w:r>
      <w:r>
        <w:rPr>
          <w:rFonts w:hint="eastAsia" w:ascii="仿宋_GB2312" w:hAnsi="仿宋_GB2312" w:eastAsia="仿宋_GB2312" w:cs="仿宋_GB2312"/>
          <w:b/>
          <w:bCs/>
          <w:sz w:val="28"/>
          <w:szCs w:val="28"/>
        </w:rPr>
        <w:t>小型、微型企业提供本企业制造的货物、承担的工程或者服务，</w:t>
      </w:r>
      <w:r>
        <w:rPr>
          <w:rFonts w:hint="eastAsia" w:ascii="仿宋_GB2312" w:hAnsi="仿宋_GB2312" w:eastAsia="仿宋_GB2312" w:cs="仿宋_GB2312"/>
          <w:sz w:val="28"/>
          <w:szCs w:val="28"/>
        </w:rPr>
        <w:t>或者提供其他中小企业制造的货物在评标时将获得优势（</w:t>
      </w:r>
      <w:r>
        <w:rPr>
          <w:rFonts w:hint="eastAsia" w:ascii="仿宋_GB2312" w:hAnsi="仿宋_GB2312" w:eastAsia="仿宋_GB2312" w:cs="仿宋_GB2312"/>
          <w:b/>
          <w:bCs/>
          <w:sz w:val="28"/>
          <w:szCs w:val="28"/>
        </w:rPr>
        <w:t>本项所称货物不包括使用大型企业注册商标的货物）。参加投标的中小企业，应当提供《中小企业声明函》（“</w:t>
      </w:r>
      <w:r>
        <w:rPr>
          <w:rFonts w:hint="eastAsia" w:ascii="仿宋_GB2312" w:hAnsi="仿宋_GB2312" w:eastAsia="仿宋_GB2312" w:cs="仿宋_GB2312"/>
          <w:sz w:val="28"/>
          <w:szCs w:val="28"/>
        </w:rPr>
        <w:t>中小企业划型标准”详见政策法规</w:t>
      </w:r>
      <w:r>
        <w:rPr>
          <w:rFonts w:hint="eastAsia" w:ascii="仿宋_GB2312" w:hAnsi="仿宋_GB2312" w:eastAsia="仿宋_GB2312" w:cs="仿宋_GB2312"/>
          <w:b/>
          <w:bCs/>
          <w:sz w:val="28"/>
          <w:szCs w:val="28"/>
        </w:rPr>
        <w:t>《</w:t>
      </w:r>
      <w:r>
        <w:rPr>
          <w:rFonts w:hint="eastAsia" w:ascii="仿宋_GB2312" w:hAnsi="仿宋_GB2312" w:eastAsia="仿宋_GB2312" w:cs="仿宋_GB2312"/>
          <w:sz w:val="28"/>
          <w:szCs w:val="28"/>
        </w:rPr>
        <w:t>关于印发中小企业划型标准规定的通知》工信部联企业〔2011〕300号</w:t>
      </w:r>
      <w:r>
        <w:rPr>
          <w:rFonts w:hint="eastAsia" w:ascii="仿宋_GB2312" w:hAnsi="仿宋_GB2312" w:eastAsia="仿宋_GB2312" w:cs="仿宋_GB2312"/>
          <w:b/>
          <w:bCs/>
          <w:sz w:val="28"/>
          <w:szCs w:val="28"/>
        </w:rPr>
        <w:t>）和</w:t>
      </w:r>
      <w:r>
        <w:rPr>
          <w:rFonts w:hint="eastAsia" w:ascii="仿宋_GB2312" w:hAnsi="仿宋_GB2312" w:eastAsia="仿宋_GB2312" w:cs="仿宋_GB2312"/>
          <w:b/>
          <w:bCs/>
          <w:sz w:val="28"/>
          <w:szCs w:val="28"/>
          <w:lang w:eastAsia="zh-CN"/>
        </w:rPr>
        <w:t>响应商</w:t>
      </w:r>
      <w:r>
        <w:rPr>
          <w:rFonts w:hint="eastAsia" w:ascii="仿宋_GB2312" w:hAnsi="仿宋_GB2312" w:eastAsia="仿宋_GB2312" w:cs="仿宋_GB2312"/>
          <w:b/>
          <w:bCs/>
          <w:sz w:val="28"/>
          <w:szCs w:val="28"/>
        </w:rPr>
        <w:t>所在地的县级以</w:t>
      </w:r>
      <w:r>
        <w:rPr>
          <w:rFonts w:hint="eastAsia" w:ascii="仿宋_GB2312" w:hAnsi="仿宋_GB2312" w:eastAsia="仿宋_GB2312" w:cs="仿宋_GB2312"/>
          <w:sz w:val="28"/>
          <w:szCs w:val="28"/>
        </w:rPr>
        <w:t>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w:t>
      </w:r>
      <w:r>
        <w:rPr>
          <w:rFonts w:hint="eastAsia" w:ascii="仿宋_GB2312" w:hAnsi="仿宋_GB2312" w:eastAsia="仿宋_GB2312" w:cs="仿宋_GB2312"/>
          <w:b/>
          <w:bCs/>
          <w:sz w:val="28"/>
          <w:szCs w:val="28"/>
        </w:rPr>
        <w:t>，如未按要求填写和提供有效证明或相关内容表述不清的，不得享受价格扣除。</w:t>
      </w:r>
    </w:p>
    <w:p>
      <w:pPr>
        <w:autoSpaceDE w:val="0"/>
        <w:autoSpaceDN w:val="0"/>
        <w:snapToGrid w:val="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二、响应文件编制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5、</w:t>
      </w:r>
      <w:r>
        <w:rPr>
          <w:rFonts w:hint="eastAsia" w:ascii="仿宋_GB2312" w:hAnsi="仿宋_GB2312" w:eastAsia="仿宋_GB2312" w:cs="仿宋_GB2312"/>
          <w:sz w:val="28"/>
          <w:szCs w:val="28"/>
          <w:lang w:val="zh-CN"/>
        </w:rPr>
        <w:t>响应商应当按照磋商文件的要求编制响应文件，并对其提交的响应文件真实性、合法性承担法律责任。</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6、响应文件的语言、计量单位、货币和编制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6.1 提交的响应文件、技术文件和资料，包括图纸中的说明，以及响应商与采购办就有关磋商的所有来往函电均应使用中文。响应文件中若有英文或其他语言文字的资料，应提供相应的中文翻译资料。对不同文本响应文件的解释发生异议的，以中文文本为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6.2 响应商所使用的计量单位应为国家法定计量单位。</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6.3 响应商应用人民币报价。</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6.4 响应文件应字迹清楚、内容齐全、不得涂改。如有修改，修改处须有响应商公章或法定代表人或其授权磋商代表签字。</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6.5 响应文件应按照磋商文件规定的顺序，统一用A4规格幅面打印、装订成册并编制目录，由于编排混乱导致响应文件被误读或查找不到，责任由响应商承担。</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6.6 响应商应在响应文件中写清相应的项目编号、项目名称、响应商名称、地址、电话、传真等。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7、响应文件的组成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7.1 </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应当根据磋商文件要求编制响应文件，并根据自己的商务能力、技术水平对磋商文件提出的要求和条件逐条标明是否响应。</w:t>
      </w:r>
      <w:r>
        <w:rPr>
          <w:rFonts w:hint="eastAsia" w:ascii="仿宋_GB2312" w:hAnsi="仿宋_GB2312" w:eastAsia="仿宋_GB2312" w:cs="仿宋_GB2312"/>
          <w:sz w:val="28"/>
          <w:szCs w:val="28"/>
          <w:lang w:val="zh-CN"/>
        </w:rPr>
        <w:t>响应文件由商务部分、技术部分、价格部分，以及其他部分组成。</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7.2 </w:t>
      </w:r>
      <w:r>
        <w:rPr>
          <w:rFonts w:hint="eastAsia" w:ascii="仿宋_GB2312" w:hAnsi="仿宋_GB2312" w:eastAsia="仿宋_GB2312" w:cs="仿宋_GB2312"/>
          <w:b/>
          <w:bCs/>
          <w:sz w:val="28"/>
          <w:szCs w:val="28"/>
          <w:lang w:val="zh-CN"/>
        </w:rPr>
        <w:t>响应文件的商务部分。</w:t>
      </w:r>
      <w:r>
        <w:rPr>
          <w:rFonts w:hint="eastAsia" w:ascii="仿宋_GB2312" w:hAnsi="仿宋_GB2312" w:eastAsia="仿宋_GB2312" w:cs="仿宋_GB2312"/>
          <w:sz w:val="28"/>
          <w:szCs w:val="28"/>
          <w:lang w:val="zh-CN"/>
        </w:rPr>
        <w:t>商务部分是证明响应商有资格参加磋商和成交后有能力履行合同的文件，</w:t>
      </w:r>
      <w:r>
        <w:rPr>
          <w:rFonts w:hint="eastAsia" w:ascii="仿宋_GB2312" w:hAnsi="仿宋_GB2312" w:eastAsia="仿宋_GB2312" w:cs="仿宋_GB2312"/>
          <w:sz w:val="28"/>
          <w:szCs w:val="28"/>
        </w:rPr>
        <w:t>这些文件应能满足竞争性磋商采购文件的要求</w:t>
      </w:r>
      <w:r>
        <w:rPr>
          <w:rFonts w:hint="eastAsia" w:ascii="仿宋_GB2312" w:hAnsi="仿宋_GB2312" w:eastAsia="仿宋_GB2312" w:cs="仿宋_GB2312"/>
          <w:sz w:val="28"/>
          <w:szCs w:val="28"/>
          <w:lang w:val="zh-CN"/>
        </w:rPr>
        <w:t>，包括但不限于下列文件，其中加</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项目不得有缺失或无效：</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磋商申请及声明；</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 xml:space="preserve">法定代表人授权委托书及委托代理人的身份证明文件的复印件； </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3.1</w:t>
      </w:r>
      <w:r>
        <w:rPr>
          <w:rFonts w:hint="eastAsia" w:ascii="仿宋_GB2312" w:hAnsi="仿宋_GB2312" w:eastAsia="仿宋_GB2312" w:cs="仿宋_GB2312"/>
          <w:sz w:val="28"/>
          <w:szCs w:val="28"/>
          <w:lang w:val="zh-CN"/>
        </w:rPr>
        <w:t>《中华人民共和国政府采购法》规定的资格条件证明文件；</w:t>
      </w:r>
    </w:p>
    <w:p>
      <w:pPr>
        <w:autoSpaceDE w:val="0"/>
        <w:autoSpaceDN w:val="0"/>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第一章磋商邀请中 3.2 采购人根据采购项目的特殊要求规定的特定条件证明文件；</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《分项报价表》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（6）《商务条款偏离表》；</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）合同草案条款；</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提供的其他资格证明文件和商务资料。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sz w:val="28"/>
          <w:szCs w:val="28"/>
          <w:lang w:val="zh-CN"/>
        </w:rPr>
        <w:t xml:space="preserve">7.3 </w:t>
      </w:r>
      <w:r>
        <w:rPr>
          <w:rFonts w:hint="eastAsia" w:ascii="仿宋_GB2312" w:hAnsi="仿宋_GB2312" w:eastAsia="仿宋_GB2312" w:cs="仿宋_GB2312"/>
          <w:b/>
          <w:bCs/>
          <w:sz w:val="28"/>
          <w:szCs w:val="28"/>
          <w:lang w:val="zh-CN"/>
        </w:rPr>
        <w:t>响应文件的技术部分。</w:t>
      </w:r>
      <w:r>
        <w:rPr>
          <w:rFonts w:hint="eastAsia" w:ascii="仿宋_GB2312" w:hAnsi="仿宋_GB2312" w:eastAsia="仿宋_GB2312" w:cs="仿宋_GB2312"/>
          <w:sz w:val="28"/>
          <w:szCs w:val="28"/>
          <w:lang w:val="zh-CN"/>
        </w:rPr>
        <w:t>技术部分是证明</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提供的服务是合格的，并符合磋商文件要求的证明文件，以及</w:t>
      </w:r>
      <w:r>
        <w:rPr>
          <w:rFonts w:hint="eastAsia" w:ascii="仿宋_GB2312" w:hAnsi="仿宋_GB2312" w:eastAsia="仿宋_GB2312" w:cs="仿宋_GB2312"/>
          <w:sz w:val="28"/>
          <w:szCs w:val="28"/>
          <w:lang w:val="zh-CN"/>
        </w:rPr>
        <w:t>对服务的详细说明，这些文件可以是文字资料、图纸和数据等。提供的服务如与磋商文件要求有不符之处，应说明其差别之所在。包括但不限于下列文件，其中加</w:t>
      </w:r>
      <w:r>
        <w:rPr>
          <w:rFonts w:hint="eastAsia" w:ascii="仿宋_GB2312" w:hAnsi="仿宋_GB2312" w:eastAsia="仿宋_GB2312" w:cs="仿宋_GB2312"/>
          <w:sz w:val="28"/>
          <w:szCs w:val="28"/>
        </w:rPr>
        <w:t>“</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zh-CN"/>
        </w:rPr>
        <w:t>项目不得有缺失或无效：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rPr>
        <w:t>货物或服务的详细说明</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《技术条款偏离表》；</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rPr>
        <w:t>※《</w:t>
      </w:r>
      <w:r>
        <w:rPr>
          <w:rFonts w:hint="eastAsia" w:ascii="仿宋_GB2312" w:hAnsi="仿宋_GB2312" w:eastAsia="仿宋_GB2312" w:cs="仿宋_GB2312"/>
          <w:sz w:val="28"/>
          <w:szCs w:val="28"/>
          <w:lang w:val="zh-CN"/>
        </w:rPr>
        <w:t>磋商项目主要产品一览表</w:t>
      </w:r>
      <w:r>
        <w:rPr>
          <w:rFonts w:hint="eastAsia" w:ascii="仿宋_GB2312" w:hAnsi="仿宋_GB2312" w:eastAsia="仿宋_GB2312" w:cs="仿宋_GB2312"/>
          <w:b/>
          <w:sz w:val="28"/>
          <w:szCs w:val="28"/>
        </w:rPr>
        <w:t>》（如果本项目具有产品的话必须填写）；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（4）《供货一览表》；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（5）货物安装、验收标准、货物技术资料；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（6）项目集成（实施）方案；</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（7）</w:t>
      </w:r>
      <w:r>
        <w:rPr>
          <w:rFonts w:hint="eastAsia" w:ascii="仿宋_GB2312" w:hAnsi="仿宋_GB2312" w:eastAsia="仿宋_GB2312" w:cs="仿宋_GB2312"/>
          <w:sz w:val="28"/>
          <w:szCs w:val="28"/>
          <w:lang w:val="zh-CN"/>
        </w:rPr>
        <w:t>服务承诺；</w:t>
      </w:r>
    </w:p>
    <w:p>
      <w:pPr>
        <w:widowControl/>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（8）</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w:t>
      </w:r>
      <w:r>
        <w:rPr>
          <w:rFonts w:hint="eastAsia" w:ascii="仿宋_GB2312" w:hAnsi="仿宋_GB2312" w:eastAsia="仿宋_GB2312" w:cs="仿宋_GB2312"/>
          <w:sz w:val="28"/>
          <w:szCs w:val="28"/>
          <w:lang w:val="zh-CN"/>
        </w:rPr>
        <w:t>提供的其他技术资料。</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 xml:space="preserve">7.4 </w:t>
      </w:r>
      <w:r>
        <w:rPr>
          <w:rFonts w:hint="eastAsia" w:ascii="仿宋_GB2312" w:hAnsi="仿宋_GB2312" w:eastAsia="仿宋_GB2312" w:cs="仿宋_GB2312"/>
          <w:b/>
          <w:sz w:val="28"/>
          <w:szCs w:val="28"/>
          <w:lang w:val="zh-CN"/>
        </w:rPr>
        <w:t>响应文件的价格部分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（1）价格部分是对服务价格构成的说明，磋商文件如没有特别说明的话，对每一项服务仅接受一个价格。</w:t>
      </w:r>
    </w:p>
    <w:p>
      <w:pPr>
        <w:autoSpaceDE w:val="0"/>
        <w:autoSpaceDN w:val="0"/>
        <w:snapToGrid w:val="0"/>
        <w:ind w:firstLine="644" w:firstLineChars="23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（2）报价应包含完成本服务项目发生的所有含税费用、支付给员工的工资和国家强制缴纳的各种社会保障资金</w:t>
      </w:r>
      <w:r>
        <w:rPr>
          <w:rFonts w:hint="eastAsia" w:ascii="仿宋_GB2312" w:hAnsi="仿宋_GB2312" w:eastAsia="仿宋_GB2312" w:cs="仿宋_GB2312"/>
          <w:bCs/>
          <w:sz w:val="28"/>
          <w:szCs w:val="28"/>
        </w:rPr>
        <w:t>，以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（3）</w:t>
      </w:r>
      <w:r>
        <w:rPr>
          <w:rFonts w:hint="eastAsia" w:ascii="仿宋_GB2312" w:hAnsi="仿宋_GB2312" w:eastAsia="仿宋_GB2312" w:cs="仿宋_GB2312"/>
          <w:b/>
          <w:sz w:val="28"/>
          <w:szCs w:val="28"/>
          <w:lang w:val="zh-CN"/>
        </w:rPr>
        <w:t>响应商应充分考虑到市场价格变动，以及项目实施过程中的不可预见因素，一旦成交，总价格不变。如果有漏项，视同让利。</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（4）</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7.5 </w:t>
      </w:r>
      <w:r>
        <w:rPr>
          <w:rFonts w:hint="eastAsia" w:ascii="仿宋_GB2312" w:hAnsi="仿宋_GB2312" w:eastAsia="仿宋_GB2312" w:cs="仿宋_GB2312"/>
          <w:b/>
          <w:sz w:val="28"/>
          <w:szCs w:val="28"/>
          <w:lang w:val="zh-CN"/>
        </w:rPr>
        <w:t>响应文件的其他部分。</w:t>
      </w:r>
      <w:r>
        <w:rPr>
          <w:rFonts w:hint="eastAsia" w:ascii="仿宋_GB2312" w:hAnsi="仿宋_GB2312" w:eastAsia="仿宋_GB2312" w:cs="仿宋_GB2312"/>
          <w:sz w:val="28"/>
          <w:szCs w:val="28"/>
          <w:lang w:val="zh-CN"/>
        </w:rPr>
        <w:t>其他部分由响应商根据编制响应文件需要提供的其他相关文件。</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8、磋商保证金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8.1 响应商应按照要求提交磋商保证金，并作为其响应文件的一部分。磋商保证金是为了保护采购人免遭因响应商的行为而蒙受的损失，采购办在因响应商的行为受到损害时，磋商保证金将不予退还。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8.</w:t>
      </w: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zh-CN"/>
        </w:rPr>
        <w:t xml:space="preserve"> 下列任何情况发生时，磋商保证金不予退还：</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（1）成交通知书发出后三十日内，成交响应商未与采购人签订合同的；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（2）提供虚假材料谋取成交的；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（3）经查实与采购人、其他响应商或者采购办恶意串通的等。</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3" w:name="_Toc18136"/>
      <w:bookmarkStart w:id="74" w:name="_Toc487210477"/>
      <w:r>
        <w:rPr>
          <w:rFonts w:hint="eastAsia" w:ascii="仿宋_GB2312" w:hAnsi="仿宋_GB2312" w:eastAsia="仿宋_GB2312" w:cs="仿宋_GB2312"/>
          <w:b/>
          <w:bCs/>
          <w:sz w:val="28"/>
          <w:szCs w:val="28"/>
          <w:lang w:val="zh-CN"/>
        </w:rPr>
        <w:t>三、响应文件签署与提交</w:t>
      </w:r>
      <w:bookmarkEnd w:id="73"/>
      <w:bookmarkEnd w:id="74"/>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9、响应文件签署</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9.1 响应文件应由响应商法定代表人或授权代表签字，并加盖公章。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9.2 响应商应当在磋商文件要求提交响应文件的截止时间前，将响应文件密封送达指定地点。</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Cs/>
          <w:sz w:val="28"/>
          <w:szCs w:val="28"/>
          <w:lang w:val="zh-CN"/>
        </w:rPr>
        <w:t xml:space="preserve">9.3 </w:t>
      </w:r>
      <w:r>
        <w:rPr>
          <w:rFonts w:hint="eastAsia" w:ascii="仿宋_GB2312" w:hAnsi="仿宋_GB2312" w:eastAsia="仿宋_GB2312" w:cs="仿宋_GB2312"/>
          <w:b/>
          <w:bCs/>
          <w:sz w:val="28"/>
          <w:szCs w:val="28"/>
          <w:lang w:val="zh-CN"/>
        </w:rPr>
        <w:t>有下列情形之一的响应文件将拒收：</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（1）未按竞争性磋商邀请规定的数额和办法交纳磋商保证金的；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（2）在磋商文件要求提交响应文件的截止时间之后送达的等。</w:t>
      </w:r>
    </w:p>
    <w:p>
      <w:pPr>
        <w:autoSpaceDE w:val="0"/>
        <w:autoSpaceDN w:val="0"/>
        <w:snapToGrid w:val="0"/>
        <w:ind w:firstLine="562"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四、磋商</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lang w:val="zh-CN"/>
        </w:rPr>
        <w:t>10</w:t>
      </w:r>
      <w:r>
        <w:rPr>
          <w:rFonts w:hint="eastAsia" w:ascii="仿宋_GB2312" w:hAnsi="仿宋_GB2312" w:eastAsia="仿宋_GB2312" w:cs="仿宋_GB2312"/>
          <w:b/>
          <w:bCs/>
          <w:sz w:val="28"/>
          <w:szCs w:val="28"/>
          <w:lang w:val="zh-CN"/>
        </w:rPr>
        <w:t>、联合体</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sz w:val="28"/>
          <w:szCs w:val="28"/>
        </w:rPr>
        <w:t xml:space="preserve">10.1 </w:t>
      </w:r>
      <w:r>
        <w:rPr>
          <w:rFonts w:hint="eastAsia" w:ascii="仿宋_GB2312" w:hAnsi="仿宋_GB2312" w:eastAsia="仿宋_GB2312" w:cs="仿宋_GB2312"/>
          <w:sz w:val="28"/>
          <w:szCs w:val="28"/>
        </w:rPr>
        <w:t>两个以上的自然人、法人或者其他组织可以组成一个联合体，以一个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的身份共同参加政府采购。</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10.2 鼓励大中型企业和其他自然人、法人或者其他组织与小型、微型企业组成联合体共同参加非专门面向中小企业的政府采购活动。</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10.3 以联合体形式参加采购的，</w:t>
      </w:r>
      <w:r>
        <w:rPr>
          <w:rFonts w:hint="eastAsia" w:ascii="仿宋_GB2312" w:hAnsi="仿宋_GB2312" w:eastAsia="仿宋_GB2312" w:cs="仿宋_GB2312"/>
          <w:b/>
          <w:sz w:val="28"/>
          <w:szCs w:val="28"/>
        </w:rPr>
        <w:t>联合体各方均应当符合政府采购法第二十二条第一款规定的条件；采购人根据采购项目的特殊要求规定</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特定条件的，联合体各方中至少应当有一方符合采购人规定的特定条件</w:t>
      </w:r>
      <w:r>
        <w:rPr>
          <w:rFonts w:hint="eastAsia" w:ascii="仿宋_GB2312" w:hAnsi="仿宋_GB2312" w:eastAsia="仿宋_GB2312" w:cs="仿宋_GB2312"/>
          <w:sz w:val="28"/>
          <w:szCs w:val="28"/>
        </w:rPr>
        <w:t>。由同一专业的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组成的联合体，联合体中有同类资质的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按照联合体分工承担相同工作的，按照资质等级较低的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确定资质等级，并以响应全权代表方的应答材料作为商务评审的依据。由不同专业的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组成联合体，首先以响应全权代表方的应答材料作为认定资质以及商务评审的依据，涉及行业专属的资质，按照所属行业对应的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的应答材料确定。</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10.4 联合体各方之间应当签订联合体协议，明确约定联合体各方承担的工作和相应的责任，并将联合体协议连同响应文件一并提交。</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sz w:val="28"/>
          <w:szCs w:val="28"/>
        </w:rPr>
        <w:t>10.5 以联合体形式参加政府采购活动的，联合体各方不得再单独参加或者与其他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另外组成联合体参加同一合同项下的政府采购活动。</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11、磋商组织</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11.1 在提交响应文件时间截止后，采购办在规定的时间和地点组织磋商小组分别与响应商进行磋商。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11.2 磋商工作由采购办负责组织，具体磋商事务由依法组建的磋商小组负责。</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12、磋商程序</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12.1 磋商小组评审响应商所递交的响应文件，</w:t>
      </w:r>
      <w:r>
        <w:rPr>
          <w:rFonts w:hint="eastAsia" w:ascii="仿宋_GB2312" w:hAnsi="仿宋_GB2312" w:eastAsia="仿宋_GB2312" w:cs="仿宋_GB2312"/>
          <w:sz w:val="28"/>
          <w:szCs w:val="28"/>
        </w:rPr>
        <w:t>并根据磋商文件规定的程序、评定成交的标准等事项与实质性响应磋商文件要求的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进行磋商。未实质性响应磋商文件的响应文件按无效处理，磋商小组应将告知有关</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12.2 磋商小组所有成员集中与单一响应商分别进行磋商，所有参加磋商的响应商均有同等的磋商机会。</w:t>
      </w:r>
    </w:p>
    <w:p>
      <w:pPr>
        <w:autoSpaceDE w:val="0"/>
        <w:autoSpaceDN w:val="0"/>
        <w:snapToGrid w:val="0"/>
        <w:ind w:firstLine="420"/>
        <w:jc w:val="both"/>
        <w:rPr>
          <w:rFonts w:hint="eastAsia" w:ascii="仿宋_GB2312" w:hAnsi="仿宋_GB2312" w:eastAsia="仿宋_GB2312" w:cs="仿宋_GB2312"/>
          <w:b/>
          <w:bCs/>
          <w:color w:val="FF0000"/>
          <w:sz w:val="28"/>
          <w:szCs w:val="28"/>
          <w:lang w:val="zh-CN"/>
        </w:rPr>
      </w:pPr>
      <w:r>
        <w:rPr>
          <w:rFonts w:hint="eastAsia" w:ascii="仿宋_GB2312" w:hAnsi="仿宋_GB2312" w:eastAsia="仿宋_GB2312" w:cs="仿宋_GB2312"/>
          <w:sz w:val="28"/>
          <w:szCs w:val="28"/>
          <w:lang w:val="zh-CN"/>
        </w:rPr>
        <w:t>12.3 磋商过程中，磋商小组根据磋商文件和磋商情况可能实质性变动采购需求中的技术、服务要求以及合同草案条款。实质性变动是磋商文件的有效组成部分，磋商小组将以书面形式通知所有参加磋商的响应商。</w:t>
      </w:r>
      <w:r>
        <w:rPr>
          <w:rFonts w:hint="eastAsia" w:ascii="仿宋_GB2312" w:hAnsi="仿宋_GB2312" w:eastAsia="仿宋_GB2312" w:cs="仿宋_GB2312"/>
          <w:b/>
          <w:bCs/>
          <w:sz w:val="28"/>
          <w:szCs w:val="28"/>
          <w:lang w:val="zh-CN"/>
        </w:rPr>
        <w:t>用“★”加注或特别说明的内容为实质性要求。</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12.4 响应商应当按照磋商文件的变动情况和磋商小组的要求重新提交响应文件，并由其法定代表人或授权代表签字或者加盖公章。</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12.5 磋商结束后，磋商小组将要求所有继续参加磋商的响应商在规定时间内提交最后报价。最后报价由其法定代表人或授权代表签字或者加盖公章，最后报价是响应商响应文件的有效组成部分。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12.6 </w:t>
      </w:r>
      <w:r>
        <w:rPr>
          <w:rFonts w:hint="eastAsia" w:ascii="仿宋_GB2312" w:hAnsi="仿宋_GB2312" w:eastAsia="仿宋_GB2312" w:cs="仿宋_GB2312"/>
          <w:sz w:val="28"/>
          <w:szCs w:val="28"/>
        </w:rPr>
        <w:t>已提交响应文件的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，在提交最后报价之前，可以根据磋商情况退出磋商。退出磋商的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，采购办将退还其磋商保证金。</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12.7 出现下列情形之一的响应文件按照无效处理：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val="zh-CN"/>
        </w:rPr>
        <w:t>未按竞争性磋商邀请规定的数额和办法交纳磋商保证金的；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（2）不具备磋商文件中规定资格条件的；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（3）未实质性响应磋商文件要求的；</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没有逐一说明提供产品</w:t>
      </w:r>
      <w:r>
        <w:rPr>
          <w:rFonts w:hint="eastAsia" w:ascii="仿宋_GB2312" w:hAnsi="仿宋_GB2312" w:eastAsia="仿宋_GB2312" w:cs="仿宋_GB2312"/>
          <w:b/>
          <w:sz w:val="28"/>
          <w:szCs w:val="28"/>
          <w:lang w:val="zh-CN"/>
        </w:rPr>
        <w:t>名称、品牌、规格型号、产地、技术参数</w:t>
      </w:r>
      <w:r>
        <w:rPr>
          <w:rFonts w:hint="eastAsia" w:ascii="仿宋_GB2312" w:hAnsi="仿宋_GB2312" w:eastAsia="仿宋_GB2312" w:cs="仿宋_GB2312"/>
          <w:sz w:val="28"/>
          <w:szCs w:val="28"/>
          <w:lang w:val="zh-CN"/>
        </w:rPr>
        <w:t>和服务响应，而是直接拷贝采购文件技术要求的；</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lang w:val="zh-CN"/>
        </w:rPr>
        <w:t>报价低于完成本服务项目发生的所有含税费用、支付给员工的工资（不得低于响应商所在地最低工资标准）和国家强制缴纳的各种社会保障资金</w:t>
      </w:r>
      <w:r>
        <w:rPr>
          <w:rFonts w:hint="eastAsia" w:ascii="仿宋_GB2312" w:hAnsi="仿宋_GB2312" w:eastAsia="仿宋_GB2312" w:cs="仿宋_GB2312"/>
          <w:bCs/>
          <w:sz w:val="28"/>
          <w:szCs w:val="28"/>
        </w:rPr>
        <w:t>、公积金，以</w:t>
      </w:r>
      <w:r>
        <w:rPr>
          <w:rFonts w:hint="eastAsia" w:ascii="仿宋_GB2312" w:hAnsi="仿宋_GB2312" w:eastAsia="仿宋_GB2312" w:cs="仿宋_GB2312"/>
          <w:sz w:val="28"/>
          <w:szCs w:val="28"/>
        </w:rPr>
        <w:t>及</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认为需要的其他费用等</w:t>
      </w:r>
      <w:r>
        <w:rPr>
          <w:rFonts w:hint="eastAsia" w:ascii="仿宋_GB2312" w:hAnsi="仿宋_GB2312" w:eastAsia="仿宋_GB2312" w:cs="仿宋_GB2312"/>
          <w:b/>
          <w:sz w:val="28"/>
          <w:szCs w:val="28"/>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（6）</w:t>
      </w:r>
      <w:r>
        <w:rPr>
          <w:rFonts w:hint="eastAsia" w:ascii="仿宋_GB2312" w:hAnsi="仿宋_GB2312" w:eastAsia="仿宋_GB2312" w:cs="仿宋_GB2312"/>
          <w:sz w:val="28"/>
          <w:szCs w:val="28"/>
          <w:lang w:val="zh-CN"/>
        </w:rPr>
        <w:t>不符合法律、法规和磋商文件规定的其他实质性要求的。</w:t>
      </w:r>
    </w:p>
    <w:p>
      <w:pPr>
        <w:autoSpaceDE w:val="0"/>
        <w:autoSpaceDN w:val="0"/>
        <w:snapToGrid w:val="0"/>
        <w:ind w:firstLine="420"/>
        <w:jc w:val="both"/>
        <w:rPr>
          <w:rFonts w:hint="eastAsia" w:ascii="仿宋_GB2312" w:hAnsi="仿宋_GB2312" w:eastAsia="仿宋_GB2312" w:cs="仿宋_GB2312"/>
          <w:b/>
          <w:bCs/>
          <w:sz w:val="28"/>
          <w:szCs w:val="28"/>
        </w:rPr>
      </w:pPr>
      <w:bookmarkStart w:id="75" w:name="_Toc487210478"/>
      <w:bookmarkStart w:id="76" w:name="_Toc4915"/>
      <w:r>
        <w:rPr>
          <w:rFonts w:hint="eastAsia" w:ascii="仿宋_GB2312" w:hAnsi="仿宋_GB2312" w:eastAsia="仿宋_GB2312" w:cs="仿宋_GB2312"/>
          <w:sz w:val="28"/>
          <w:szCs w:val="28"/>
          <w:lang w:val="zh-CN"/>
        </w:rPr>
        <w:t xml:space="preserve">12.8 </w:t>
      </w:r>
      <w:r>
        <w:rPr>
          <w:rFonts w:hint="eastAsia" w:ascii="仿宋_GB2312" w:hAnsi="仿宋_GB2312" w:eastAsia="仿宋_GB2312" w:cs="仿宋_GB2312"/>
          <w:b/>
          <w:bCs/>
          <w:sz w:val="28"/>
          <w:szCs w:val="28"/>
        </w:rPr>
        <w:t>出现下列情形之一的，磋商终止：</w:t>
      </w:r>
      <w:bookmarkEnd w:id="75"/>
      <w:bookmarkEnd w:id="76"/>
    </w:p>
    <w:p>
      <w:pPr>
        <w:autoSpaceDE w:val="0"/>
        <w:autoSpaceDN w:val="0"/>
        <w:snapToGrid w:val="0"/>
        <w:ind w:firstLine="420"/>
        <w:jc w:val="both"/>
        <w:rPr>
          <w:rFonts w:hint="eastAsia" w:ascii="仿宋_GB2312" w:hAnsi="仿宋_GB2312" w:eastAsia="仿宋_GB2312" w:cs="仿宋_GB2312"/>
          <w:bCs/>
          <w:sz w:val="28"/>
          <w:szCs w:val="28"/>
          <w:lang w:val="zh-CN"/>
        </w:rPr>
      </w:pPr>
      <w:bookmarkStart w:id="77" w:name="_Toc16304"/>
      <w:bookmarkStart w:id="78" w:name="_Toc487210479"/>
      <w:r>
        <w:rPr>
          <w:rFonts w:hint="eastAsia" w:ascii="仿宋_GB2312" w:hAnsi="仿宋_GB2312" w:eastAsia="仿宋_GB2312" w:cs="仿宋_GB2312"/>
          <w:bCs/>
          <w:sz w:val="28"/>
          <w:szCs w:val="28"/>
          <w:lang w:val="zh-CN"/>
        </w:rPr>
        <w:t>（1）因情况变化，不再符合规定的竞争性磋商采购方式适用情形的；</w:t>
      </w:r>
      <w:bookmarkEnd w:id="77"/>
      <w:bookmarkEnd w:id="78"/>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79" w:name="_Toc487210480"/>
      <w:bookmarkStart w:id="80" w:name="_Toc27133"/>
      <w:r>
        <w:rPr>
          <w:rFonts w:hint="eastAsia" w:ascii="仿宋_GB2312" w:hAnsi="仿宋_GB2312" w:eastAsia="仿宋_GB2312" w:cs="仿宋_GB2312"/>
          <w:bCs/>
          <w:sz w:val="28"/>
          <w:szCs w:val="28"/>
          <w:lang w:val="zh-CN"/>
        </w:rPr>
        <w:t>（2）</w:t>
      </w:r>
      <w:r>
        <w:rPr>
          <w:rFonts w:hint="eastAsia" w:ascii="仿宋_GB2312" w:hAnsi="仿宋_GB2312" w:eastAsia="仿宋_GB2312" w:cs="仿宋_GB2312"/>
          <w:b/>
          <w:bCs/>
          <w:sz w:val="28"/>
          <w:szCs w:val="28"/>
          <w:lang w:val="zh-CN"/>
        </w:rPr>
        <w:t>所有响应商的响应文件被磋商小组认定为无效的；</w:t>
      </w:r>
      <w:bookmarkEnd w:id="79"/>
      <w:bookmarkEnd w:id="80"/>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1" w:name="_Toc487210481"/>
      <w:bookmarkStart w:id="82" w:name="_Toc28280"/>
      <w:r>
        <w:rPr>
          <w:rFonts w:hint="eastAsia" w:ascii="仿宋_GB2312" w:hAnsi="仿宋_GB2312" w:eastAsia="仿宋_GB2312" w:cs="仿宋_GB2312"/>
          <w:bCs/>
          <w:sz w:val="28"/>
          <w:szCs w:val="28"/>
          <w:lang w:val="zh-CN"/>
        </w:rPr>
        <w:t>（3）</w:t>
      </w:r>
      <w:r>
        <w:rPr>
          <w:rFonts w:hint="eastAsia" w:ascii="仿宋_GB2312" w:hAnsi="仿宋_GB2312" w:eastAsia="仿宋_GB2312" w:cs="仿宋_GB2312"/>
          <w:sz w:val="28"/>
          <w:szCs w:val="28"/>
          <w:lang w:val="zh-CN"/>
        </w:rPr>
        <w:t>出现影响采购公正的违法、违规行为的；</w:t>
      </w:r>
      <w:bookmarkEnd w:id="81"/>
      <w:bookmarkEnd w:id="82"/>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3" w:name="_Toc487210482"/>
      <w:bookmarkStart w:id="84" w:name="_Toc24274"/>
      <w:r>
        <w:rPr>
          <w:rFonts w:hint="eastAsia" w:ascii="仿宋_GB2312" w:hAnsi="仿宋_GB2312" w:eastAsia="仿宋_GB2312" w:cs="仿宋_GB2312"/>
          <w:bCs/>
          <w:sz w:val="28"/>
          <w:szCs w:val="28"/>
          <w:lang w:val="zh-CN"/>
        </w:rPr>
        <w:t>（4）</w:t>
      </w:r>
      <w:r>
        <w:rPr>
          <w:rFonts w:hint="eastAsia" w:ascii="仿宋_GB2312" w:hAnsi="仿宋_GB2312" w:eastAsia="仿宋_GB2312" w:cs="仿宋_GB2312"/>
          <w:b/>
          <w:bCs/>
          <w:sz w:val="28"/>
          <w:szCs w:val="28"/>
          <w:lang w:val="zh-CN"/>
        </w:rPr>
        <w:t>响应商的最终报价超过采购预算的；</w:t>
      </w:r>
      <w:bookmarkEnd w:id="83"/>
      <w:bookmarkEnd w:id="84"/>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（5）因重大变故，采购任务取消的；</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（6）采购人需求发生重大变化暂时不能确定或响应商提供的服务不能满足需求等。</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13、评定成交方法和标准</w:t>
      </w:r>
    </w:p>
    <w:p>
      <w:pPr>
        <w:autoSpaceDE w:val="0"/>
        <w:autoSpaceDN w:val="0"/>
        <w:snapToGrid w:val="0"/>
        <w:ind w:firstLine="42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 xml:space="preserve">13.1 </w:t>
      </w:r>
      <w:r>
        <w:rPr>
          <w:rFonts w:hint="eastAsia" w:ascii="仿宋_GB2312" w:hAnsi="仿宋_GB2312" w:eastAsia="仿宋_GB2312" w:cs="仿宋_GB2312"/>
          <w:color w:val="000000"/>
          <w:sz w:val="28"/>
          <w:szCs w:val="28"/>
          <w:lang w:val="zh-CN"/>
        </w:rPr>
        <w:t>采用综合评分法。即在最大限度地满足竞争性磋商文件实质性要求前提下，按照磋商文件中规定的各项因素进行综合评审后，以评审总得分最高的响应商作为成交候选响应商或者成交响应商的评审方法。</w:t>
      </w:r>
    </w:p>
    <w:p>
      <w:pPr>
        <w:autoSpaceDE w:val="0"/>
        <w:autoSpaceDN w:val="0"/>
        <w:snapToGrid w:val="0"/>
        <w:ind w:firstLine="420"/>
        <w:jc w:val="both"/>
        <w:rPr>
          <w:rFonts w:hint="eastAsia" w:ascii="仿宋_GB2312" w:hAnsi="仿宋_GB2312" w:eastAsia="仿宋_GB2312" w:cs="仿宋_GB2312"/>
          <w:sz w:val="28"/>
          <w:szCs w:val="28"/>
          <w:highlight w:val="yellow"/>
          <w:lang w:val="zh-CN"/>
        </w:rPr>
      </w:pPr>
      <w:r>
        <w:rPr>
          <w:rFonts w:hint="eastAsia" w:ascii="仿宋_GB2312" w:hAnsi="仿宋_GB2312" w:eastAsia="仿宋_GB2312" w:cs="仿宋_GB2312"/>
          <w:sz w:val="28"/>
          <w:szCs w:val="28"/>
          <w:lang w:val="zh-CN"/>
        </w:rPr>
        <w:t>13.2 综合评审的主要因素是：价格、服务参数响应情况</w:t>
      </w:r>
      <w:r>
        <w:rPr>
          <w:rFonts w:hint="eastAsia" w:ascii="仿宋_GB2312" w:hAnsi="仿宋_GB2312" w:eastAsia="仿宋_GB2312" w:cs="仿宋_GB2312"/>
          <w:sz w:val="28"/>
          <w:szCs w:val="28"/>
        </w:rPr>
        <w:t>、维保方案</w:t>
      </w:r>
      <w:r>
        <w:rPr>
          <w:rFonts w:hint="eastAsia" w:ascii="仿宋_GB2312" w:hAnsi="仿宋_GB2312" w:eastAsia="仿宋_GB2312" w:cs="仿宋_GB2312"/>
          <w:sz w:val="28"/>
          <w:szCs w:val="28"/>
          <w:lang w:val="zh-CN"/>
        </w:rPr>
        <w:t>、人员配置及服务承诺等、响应商履约能力及资信情况等。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Cs/>
          <w:color w:val="000000"/>
          <w:sz w:val="28"/>
          <w:szCs w:val="28"/>
          <w:lang w:val="zh-CN"/>
        </w:rPr>
        <w:t>13.3</w:t>
      </w: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b/>
          <w:color w:val="000000"/>
          <w:sz w:val="28"/>
          <w:szCs w:val="28"/>
        </w:rPr>
        <w:t>评审标准详见文件第三章。</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14、确定成交响应商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14.1 </w:t>
      </w:r>
      <w:r>
        <w:rPr>
          <w:rFonts w:hint="eastAsia" w:ascii="仿宋_GB2312" w:hAnsi="仿宋_GB2312" w:eastAsia="仿宋_GB2312" w:cs="仿宋_GB2312"/>
          <w:color w:val="000000"/>
          <w:sz w:val="28"/>
          <w:szCs w:val="28"/>
          <w:lang w:val="zh-CN"/>
        </w:rPr>
        <w:t>在综合比较与评价后按照得分高低顺序对响应商进行排列。</w:t>
      </w:r>
      <w:r>
        <w:rPr>
          <w:rFonts w:hint="eastAsia" w:ascii="仿宋_GB2312" w:hAnsi="仿宋_GB2312" w:eastAsia="仿宋_GB2312" w:cs="仿宋_GB2312"/>
          <w:color w:val="000000"/>
          <w:sz w:val="28"/>
          <w:szCs w:val="28"/>
        </w:rPr>
        <w:t>得分相同的，按报价由低到高顺序排列。得分且报价相同的，按技术指标优劣顺序排列。</w:t>
      </w:r>
      <w:r>
        <w:rPr>
          <w:rFonts w:hint="eastAsia" w:ascii="仿宋_GB2312" w:hAnsi="仿宋_GB2312" w:eastAsia="仿宋_GB2312" w:cs="仿宋_GB2312"/>
          <w:color w:val="000000"/>
          <w:sz w:val="28"/>
          <w:szCs w:val="28"/>
          <w:lang w:val="zh-CN"/>
        </w:rPr>
        <w:t>磋商小组将综合排名第一的响应商确定为成交响应商。</w:t>
      </w:r>
    </w:p>
    <w:p>
      <w:pPr>
        <w:snapToGrid w:val="0"/>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14.2 成交响应商确定后，将</w:t>
      </w:r>
      <w:r>
        <w:rPr>
          <w:rFonts w:hint="eastAsia" w:ascii="仿宋_GB2312" w:hAnsi="仿宋_GB2312" w:eastAsia="仿宋_GB2312" w:cs="仿宋_GB2312"/>
          <w:sz w:val="28"/>
          <w:szCs w:val="28"/>
        </w:rPr>
        <w:t>在学院采购网上发布成交公示。</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14.3 成交通知书对采购人和成交响应商具有同等法律效力。</w:t>
      </w:r>
    </w:p>
    <w:p>
      <w:pPr>
        <w:tabs>
          <w:tab w:val="left" w:pos="1260"/>
        </w:tabs>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采购人对未成交的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不作未成交原因的解释。</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14.5 所有响应文件都将作为档案保存，不论成交与否，采购办均不退回。</w:t>
      </w:r>
    </w:p>
    <w:p>
      <w:pPr>
        <w:autoSpaceDE w:val="0"/>
        <w:autoSpaceDN w:val="0"/>
        <w:snapToGrid w:val="0"/>
        <w:ind w:firstLine="551" w:firstLineChars="196"/>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lang w:val="zh-CN"/>
        </w:rPr>
        <w:t>15</w:t>
      </w:r>
      <w:r>
        <w:rPr>
          <w:rFonts w:hint="eastAsia" w:ascii="仿宋_GB2312" w:hAnsi="仿宋_GB2312" w:eastAsia="仿宋_GB2312" w:cs="仿宋_GB2312"/>
          <w:b/>
          <w:bCs/>
          <w:sz w:val="28"/>
          <w:szCs w:val="28"/>
          <w:lang w:val="zh-CN"/>
        </w:rPr>
        <w:t>、</w:t>
      </w:r>
      <w:r>
        <w:rPr>
          <w:rFonts w:hint="eastAsia" w:ascii="仿宋_GB2312" w:hAnsi="仿宋_GB2312" w:eastAsia="仿宋_GB2312" w:cs="仿宋_GB2312"/>
          <w:b/>
          <w:sz w:val="28"/>
          <w:szCs w:val="28"/>
        </w:rPr>
        <w:t>编写评审报告</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磋商小组根据磋商过程和结果填写评审报告。</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sz w:val="28"/>
          <w:szCs w:val="28"/>
          <w:lang w:val="zh-CN"/>
        </w:rPr>
        <w:t>16、</w:t>
      </w:r>
      <w:r>
        <w:rPr>
          <w:rFonts w:hint="eastAsia" w:ascii="仿宋_GB2312" w:hAnsi="仿宋_GB2312" w:eastAsia="仿宋_GB2312" w:cs="仿宋_GB2312"/>
          <w:b/>
          <w:bCs/>
          <w:sz w:val="28"/>
          <w:szCs w:val="28"/>
          <w:lang w:val="zh-CN"/>
        </w:rPr>
        <w:t>签订合同</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1 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应当</w:t>
      </w:r>
      <w:r>
        <w:rPr>
          <w:rFonts w:hint="eastAsia" w:ascii="仿宋_GB2312" w:hAnsi="仿宋_GB2312" w:eastAsia="仿宋_GB2312" w:cs="仿宋_GB2312"/>
          <w:sz w:val="28"/>
          <w:szCs w:val="28"/>
          <w:lang w:val="zh-CN"/>
        </w:rPr>
        <w:t>自成交通知书发出之日起三十日内，</w:t>
      </w:r>
      <w:r>
        <w:rPr>
          <w:rFonts w:hint="eastAsia" w:ascii="仿宋_GB2312" w:hAnsi="仿宋_GB2312" w:eastAsia="仿宋_GB2312" w:cs="仿宋_GB2312"/>
          <w:sz w:val="28"/>
          <w:szCs w:val="28"/>
        </w:rPr>
        <w:t>与采购人签订政府采购合同，所签订的合同不得对磋商文件和响应文件作实质性修改。</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w:t>
      </w:r>
      <w:r>
        <w:rPr>
          <w:rFonts w:hint="eastAsia" w:ascii="仿宋_GB2312" w:hAnsi="仿宋_GB2312" w:eastAsia="仿宋_GB2312" w:cs="仿宋_GB2312"/>
          <w:sz w:val="28"/>
          <w:szCs w:val="28"/>
          <w:lang w:val="zh-CN"/>
        </w:rPr>
        <w:t xml:space="preserve">.2 </w:t>
      </w:r>
      <w:r>
        <w:rPr>
          <w:rFonts w:hint="eastAsia" w:ascii="仿宋_GB2312" w:hAnsi="仿宋_GB2312" w:eastAsia="仿宋_GB2312" w:cs="仿宋_GB2312"/>
          <w:sz w:val="28"/>
          <w:szCs w:val="28"/>
        </w:rPr>
        <w:t>采购人不得向成交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提出任何不合理的要求作为签订合同的条件，不得与成交</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私下订立背离合同实质性内容的协议。</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16.3</w:t>
      </w:r>
      <w:r>
        <w:rPr>
          <w:rFonts w:hint="eastAsia" w:ascii="仿宋_GB2312" w:hAnsi="仿宋_GB2312" w:eastAsia="仿宋_GB2312" w:cs="仿宋_GB2312"/>
          <w:sz w:val="28"/>
          <w:szCs w:val="28"/>
        </w:rPr>
        <w:t xml:space="preserve"> 除不可抗力等因素外，</w:t>
      </w:r>
      <w:r>
        <w:rPr>
          <w:rFonts w:hint="eastAsia" w:ascii="仿宋_GB2312" w:hAnsi="仿宋_GB2312" w:eastAsia="仿宋_GB2312" w:cs="仿宋_GB2312"/>
          <w:sz w:val="28"/>
          <w:szCs w:val="28"/>
          <w:lang w:val="zh-CN"/>
        </w:rPr>
        <w:t>成交通知书发出后，采购人改变成交结果，或者成交响应商拒绝签订政府采购合同的，应当承担相应的法律责任。</w:t>
      </w:r>
    </w:p>
    <w:p>
      <w:pPr>
        <w:autoSpaceDE w:val="0"/>
        <w:autoSpaceDN w:val="0"/>
        <w:snapToGrid w:val="0"/>
        <w:ind w:firstLine="42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lang w:val="zh-CN"/>
        </w:rPr>
        <w:t xml:space="preserve">16.4 </w:t>
      </w:r>
      <w:r>
        <w:rPr>
          <w:rFonts w:hint="eastAsia" w:ascii="仿宋_GB2312" w:hAnsi="仿宋_GB2312" w:eastAsia="仿宋_GB2312" w:cs="仿宋_GB2312"/>
          <w:b/>
          <w:sz w:val="28"/>
          <w:szCs w:val="28"/>
        </w:rPr>
        <w:t>成交</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16.5 成交响应商拒绝签订政府采购合同的，</w:t>
      </w:r>
      <w:r>
        <w:rPr>
          <w:rFonts w:hint="eastAsia" w:ascii="仿宋_GB2312" w:hAnsi="仿宋_GB2312" w:eastAsia="仿宋_GB2312" w:cs="仿宋_GB2312"/>
          <w:sz w:val="28"/>
          <w:szCs w:val="28"/>
        </w:rPr>
        <w:t>或因不可抗力或者自身原因不能履行政府采购合同的，</w:t>
      </w:r>
      <w:r>
        <w:rPr>
          <w:rFonts w:hint="eastAsia" w:ascii="仿宋_GB2312" w:hAnsi="仿宋_GB2312" w:eastAsia="仿宋_GB2312" w:cs="仿宋_GB2312"/>
          <w:sz w:val="28"/>
          <w:szCs w:val="28"/>
          <w:lang w:val="zh-CN"/>
        </w:rPr>
        <w:t>采购人可以视情与排位在成交响应商之后第一位的成交候选响应商签订政府采购合同，也可以重新开展采购活动。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16.6 政府采购合同履行中，采购人需追加与合同标的相同的服务的，在不改变合同其他条款的前提下，可以与响应商协商签订补充合同，但所有补充合同的采购金额不得超过原合同采购金额的百分之十。</w:t>
      </w:r>
    </w:p>
    <w:p>
      <w:pPr>
        <w:autoSpaceDE w:val="0"/>
        <w:autoSpaceDN w:val="0"/>
        <w:snapToGrid w:val="0"/>
        <w:ind w:firstLine="420"/>
        <w:jc w:val="both"/>
        <w:rPr>
          <w:rFonts w:hint="eastAsia" w:ascii="仿宋_GB2312" w:hAnsi="仿宋_GB2312" w:eastAsia="仿宋_GB2312" w:cs="仿宋_GB2312"/>
          <w:b/>
          <w:bCs/>
          <w:sz w:val="28"/>
          <w:szCs w:val="28"/>
          <w:lang w:val="zh-CN"/>
        </w:rPr>
      </w:pPr>
      <w:bookmarkStart w:id="85" w:name="_Toc15504"/>
      <w:bookmarkStart w:id="86" w:name="_Toc487210483"/>
      <w:r>
        <w:rPr>
          <w:rFonts w:hint="eastAsia" w:ascii="仿宋_GB2312" w:hAnsi="仿宋_GB2312" w:eastAsia="仿宋_GB2312" w:cs="仿宋_GB2312"/>
          <w:b/>
          <w:bCs/>
          <w:sz w:val="28"/>
          <w:szCs w:val="28"/>
          <w:lang w:val="zh-CN"/>
        </w:rPr>
        <w:t>六、询问、质疑、投诉和诚实信用</w:t>
      </w:r>
      <w:bookmarkEnd w:id="85"/>
      <w:bookmarkEnd w:id="86"/>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17、询问</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sz w:val="28"/>
          <w:szCs w:val="28"/>
          <w:lang w:val="zh-CN"/>
        </w:rPr>
        <w:t>17.1 响应商对采购活动事项有疑问的，可以向</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提出询问，</w:t>
      </w:r>
      <w:r>
        <w:rPr>
          <w:rFonts w:hint="eastAsia" w:ascii="仿宋_GB2312" w:hAnsi="仿宋_GB2312" w:eastAsia="仿宋_GB2312" w:cs="仿宋_GB2312"/>
          <w:sz w:val="28"/>
          <w:szCs w:val="28"/>
        </w:rPr>
        <w:t>采购办</w:t>
      </w:r>
      <w:r>
        <w:rPr>
          <w:rFonts w:hint="eastAsia" w:ascii="仿宋_GB2312" w:hAnsi="仿宋_GB2312" w:eastAsia="仿宋_GB2312" w:cs="仿宋_GB2312"/>
          <w:sz w:val="28"/>
          <w:szCs w:val="28"/>
          <w:lang w:val="zh-CN"/>
        </w:rPr>
        <w:t>将在两个工作日内作出答复，但答复的内容不涉及商业秘密</w:t>
      </w:r>
      <w:r>
        <w:rPr>
          <w:rFonts w:hint="eastAsia" w:ascii="仿宋_GB2312" w:hAnsi="仿宋_GB2312" w:eastAsia="仿宋_GB2312" w:cs="仿宋_GB2312"/>
          <w:b/>
          <w:sz w:val="28"/>
          <w:szCs w:val="28"/>
          <w:lang w:val="zh-CN"/>
        </w:rPr>
        <w:t>。</w:t>
      </w:r>
    </w:p>
    <w:p>
      <w:pPr>
        <w:autoSpaceDE w:val="0"/>
        <w:autoSpaceDN w:val="0"/>
        <w:snapToGrid w:val="0"/>
        <w:ind w:firstLine="420"/>
        <w:jc w:val="both"/>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18、质疑</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18.1 响应商认为采购文件、采购过程和成交结果使自己的合法权益受到损害的，可以在知道或者应当知道其权益受到损害之日起七个工作日内，将质疑文件原件送达</w:t>
      </w:r>
      <w:r>
        <w:rPr>
          <w:rFonts w:hint="eastAsia" w:ascii="仿宋_GB2312" w:hAnsi="仿宋_GB2312" w:eastAsia="仿宋_GB2312" w:cs="仿宋_GB2312"/>
          <w:b/>
          <w:sz w:val="28"/>
          <w:szCs w:val="28"/>
        </w:rPr>
        <w:t>采购办</w:t>
      </w:r>
      <w:r>
        <w:rPr>
          <w:rFonts w:hint="eastAsia" w:ascii="仿宋_GB2312" w:hAnsi="仿宋_GB2312" w:eastAsia="仿宋_GB2312" w:cs="仿宋_GB2312"/>
          <w:b/>
          <w:sz w:val="28"/>
          <w:szCs w:val="28"/>
          <w:lang w:val="zh-CN"/>
        </w:rPr>
        <w:t>。</w:t>
      </w:r>
    </w:p>
    <w:p>
      <w:pPr>
        <w:autoSpaceDE w:val="0"/>
        <w:autoSpaceDN w:val="0"/>
        <w:snapToGrid w:val="0"/>
        <w:ind w:firstLine="560" w:firstLineChars="200"/>
        <w:jc w:val="both"/>
        <w:rPr>
          <w:rFonts w:hint="eastAsia" w:ascii="仿宋_GB2312" w:hAnsi="仿宋_GB2312" w:eastAsia="仿宋_GB2312" w:cs="仿宋_GB2312"/>
          <w:snapToGrid w:val="0"/>
          <w:sz w:val="28"/>
          <w:szCs w:val="28"/>
        </w:rPr>
      </w:pPr>
      <w:r>
        <w:rPr>
          <w:rFonts w:hint="eastAsia" w:ascii="仿宋_GB2312" w:hAnsi="仿宋_GB2312" w:eastAsia="仿宋_GB2312" w:cs="仿宋_GB2312"/>
          <w:sz w:val="28"/>
          <w:szCs w:val="28"/>
          <w:lang w:val="zh-CN"/>
        </w:rPr>
        <w:t>18.2 质疑文件应包括以下主要内容，并</w:t>
      </w:r>
      <w:r>
        <w:rPr>
          <w:rFonts w:hint="eastAsia" w:ascii="仿宋_GB2312" w:hAnsi="仿宋_GB2312" w:eastAsia="仿宋_GB2312" w:cs="仿宋_GB2312"/>
          <w:sz w:val="28"/>
          <w:szCs w:val="28"/>
        </w:rPr>
        <w:t>按照“谁主张、谁举证”的原则，附上相关证明材料。否则，采购办不予受理：</w:t>
      </w:r>
      <w:r>
        <w:rPr>
          <w:rFonts w:hint="eastAsia" w:ascii="仿宋_GB2312" w:hAnsi="仿宋_GB2312" w:eastAsia="仿宋_GB2312" w:cs="仿宋_GB2312"/>
          <w:snapToGrid w:val="0"/>
          <w:sz w:val="28"/>
          <w:szCs w:val="28"/>
        </w:rPr>
        <w:t xml:space="preserve"> </w:t>
      </w:r>
    </w:p>
    <w:p>
      <w:pPr>
        <w:autoSpaceDE w:val="0"/>
        <w:autoSpaceDN w:val="0"/>
        <w:snapToGrid w:val="0"/>
        <w:ind w:left="560" w:left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（1）质疑项目名称、项目编号、包号、采购公告发布时间、磋商时间；</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（2）提起质疑的日期、具体的质疑事项及事实根据（具体条款）；</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（3）认为自己合法权益受到损害或可能受到损害的相关证据材料。</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（4）质疑响应商名称、地址、邮编、联系人、联系电话</w:t>
      </w:r>
      <w:r>
        <w:rPr>
          <w:rFonts w:hint="eastAsia" w:ascii="仿宋_GB2312" w:hAnsi="仿宋_GB2312" w:eastAsia="仿宋_GB2312" w:cs="仿宋_GB2312"/>
          <w:sz w:val="28"/>
          <w:szCs w:val="28"/>
        </w:rPr>
        <w:t>（包括座机、手机、传真号码等）</w:t>
      </w:r>
      <w:r>
        <w:rPr>
          <w:rFonts w:hint="eastAsia" w:ascii="仿宋_GB2312" w:hAnsi="仿宋_GB2312" w:eastAsia="仿宋_GB2312" w:cs="仿宋_GB2312"/>
          <w:sz w:val="28"/>
          <w:szCs w:val="28"/>
          <w:lang w:val="zh-CN"/>
        </w:rPr>
        <w:t>；</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（5）质疑函应当署名，质疑人为自然人的，应当由本人签字并附有效身份证明；质疑人为法人或其他组织的，应当由法定代表人签字并加盖单位公章。</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18.3 质疑</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是指直接参加本项目采购活动的</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；对采购文件提出质疑的，应自</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获得采购文件之日起计算，且应当在提交响应文件截止之日前提出；对采购过程提出质疑的，自采购程序环节结束之日起计算；对采购结果提出质疑的，自采购结果公告之日起计算。</w:t>
      </w:r>
    </w:p>
    <w:p>
      <w:pPr>
        <w:autoSpaceDE w:val="0"/>
        <w:autoSpaceDN w:val="0"/>
        <w:snapToGrid w:val="0"/>
        <w:ind w:firstLine="42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18.4 </w:t>
      </w:r>
      <w:r>
        <w:rPr>
          <w:rFonts w:hint="eastAsia" w:ascii="仿宋_GB2312" w:hAnsi="仿宋_GB2312" w:eastAsia="仿宋_GB2312" w:cs="仿宋_GB2312"/>
          <w:sz w:val="28"/>
          <w:szCs w:val="28"/>
          <w:lang w:val="zh-CN"/>
        </w:rPr>
        <w:t>采购办</w:t>
      </w:r>
      <w:r>
        <w:rPr>
          <w:rFonts w:hint="eastAsia" w:ascii="仿宋_GB2312" w:hAnsi="仿宋_GB2312" w:eastAsia="仿宋_GB2312" w:cs="仿宋_GB2312"/>
          <w:sz w:val="28"/>
          <w:szCs w:val="28"/>
        </w:rPr>
        <w:t>在收到</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的书面质疑后将及时组织调查核实，在</w:t>
      </w:r>
      <w:r>
        <w:rPr>
          <w:rFonts w:hint="eastAsia" w:ascii="仿宋_GB2312" w:hAnsi="仿宋_GB2312" w:eastAsia="仿宋_GB2312" w:cs="仿宋_GB2312"/>
          <w:b/>
          <w:bCs/>
          <w:sz w:val="28"/>
          <w:szCs w:val="28"/>
          <w:lang w:val="zh-CN"/>
        </w:rPr>
        <w:t>七个工作日内</w:t>
      </w:r>
      <w:r>
        <w:rPr>
          <w:rFonts w:hint="eastAsia" w:ascii="仿宋_GB2312" w:hAnsi="仿宋_GB2312" w:eastAsia="仿宋_GB2312" w:cs="仿宋_GB2312"/>
          <w:sz w:val="28"/>
          <w:szCs w:val="28"/>
          <w:lang w:val="zh-CN"/>
        </w:rPr>
        <w:t>作出答复，并以书面通知质疑响应商和其他有关响应商，答复的内容不涉及商业秘密。采购办</w:t>
      </w:r>
      <w:r>
        <w:rPr>
          <w:rFonts w:hint="eastAsia" w:ascii="仿宋_GB2312" w:hAnsi="仿宋_GB2312" w:eastAsia="仿宋_GB2312" w:cs="仿宋_GB2312"/>
          <w:sz w:val="28"/>
          <w:szCs w:val="28"/>
        </w:rPr>
        <w:t>遵循“谁过错谁负担”的原则，有过错的一方承担调查论证费用。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 xml:space="preserve">18.5 </w:t>
      </w:r>
      <w:r>
        <w:rPr>
          <w:rFonts w:hint="eastAsia" w:ascii="仿宋_GB2312" w:hAnsi="仿宋_GB2312" w:eastAsia="仿宋_GB2312" w:cs="仿宋_GB2312"/>
          <w:sz w:val="28"/>
          <w:szCs w:val="28"/>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b/>
          <w:bCs/>
          <w:sz w:val="28"/>
          <w:szCs w:val="28"/>
          <w:lang w:val="zh-CN"/>
        </w:rPr>
        <w:t>19、投诉</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19.1 质疑响应商对采购办的答复不满意，或采购办未在规定的时间内作出答复的，可以在答复期满后</w:t>
      </w:r>
      <w:r>
        <w:rPr>
          <w:rFonts w:hint="eastAsia" w:ascii="仿宋_GB2312" w:hAnsi="仿宋_GB2312" w:eastAsia="仿宋_GB2312" w:cs="仿宋_GB2312"/>
          <w:b/>
          <w:bCs/>
          <w:sz w:val="28"/>
          <w:szCs w:val="28"/>
          <w:lang w:val="zh-CN"/>
        </w:rPr>
        <w:t>十五个工作日内</w:t>
      </w:r>
      <w:r>
        <w:rPr>
          <w:rFonts w:hint="eastAsia" w:ascii="仿宋_GB2312" w:hAnsi="仿宋_GB2312" w:eastAsia="仿宋_GB2312" w:cs="仿宋_GB2312"/>
          <w:sz w:val="28"/>
          <w:szCs w:val="28"/>
          <w:lang w:val="zh-CN"/>
        </w:rPr>
        <w:t>向采购项目同级财政部门投诉。</w:t>
      </w:r>
    </w:p>
    <w:p>
      <w:pPr>
        <w:autoSpaceDE w:val="0"/>
        <w:autoSpaceDN w:val="0"/>
        <w:snapToGrid w:val="0"/>
        <w:ind w:firstLine="420"/>
        <w:jc w:val="both"/>
        <w:rPr>
          <w:rFonts w:hint="eastAsia" w:ascii="仿宋_GB2312" w:hAnsi="仿宋_GB2312" w:eastAsia="仿宋_GB2312" w:cs="仿宋_GB2312"/>
          <w:b/>
          <w:bCs/>
          <w:sz w:val="28"/>
          <w:szCs w:val="28"/>
          <w:lang w:val="zh-CN"/>
        </w:rPr>
      </w:pPr>
      <w:r>
        <w:rPr>
          <w:rFonts w:hint="eastAsia" w:ascii="仿宋_GB2312" w:hAnsi="仿宋_GB2312" w:eastAsia="仿宋_GB2312" w:cs="仿宋_GB2312"/>
          <w:b/>
          <w:bCs/>
          <w:sz w:val="28"/>
          <w:szCs w:val="28"/>
          <w:lang w:val="zh-CN"/>
        </w:rPr>
        <w:t>20、诚实信用</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20.1 响应商之间不得相互串通报价，不得妨碍其他响应商的公平竞争，不得损害采购人和其他响应商的合法权益。</w:t>
      </w:r>
    </w:p>
    <w:p>
      <w:pPr>
        <w:autoSpaceDE w:val="0"/>
        <w:autoSpaceDN w:val="0"/>
        <w:snapToGrid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20.2 响应商不得以向采购办工作人员、磋商小组成员行贿或者采取其他不正当手段谋取成交。经查实响应商有此行为的，</w:t>
      </w:r>
      <w:r>
        <w:rPr>
          <w:rFonts w:hint="eastAsia" w:ascii="仿宋_GB2312" w:hAnsi="仿宋_GB2312" w:eastAsia="仿宋_GB2312" w:cs="仿宋_GB2312"/>
          <w:sz w:val="28"/>
          <w:szCs w:val="28"/>
        </w:rPr>
        <w:t>政府采购管理部门将</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列入不良行为记录名单，按照《政府采购法》有关规定处理。</w:t>
      </w:r>
    </w:p>
    <w:p>
      <w:pPr>
        <w:snapToGrid w:val="0"/>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20.3 响应商不得虚假质疑和恶意质疑，并对质疑内容的真实性承担责任。</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通过捏造事实、伪造证明材料等方式提出异议或投诉，阻碍政府采购活动正常进行的，属于严重不良行为，采购办将提请财政部门将其列入不良行为记录名单，并依法予以处罚。</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20.4 响应商不得虚假承诺，否则，按照提供虚假材料谋取成交处理。</w:t>
      </w:r>
    </w:p>
    <w:p>
      <w:pPr>
        <w:snapToGrid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20.5 响应商应自觉遵守磋商、评审纪律，扰乱磋商、评审现场秩序的，属于失信行为，根据《江苏省政府采购响应商监督管理暂行办法》，失信行为将被记入响应商诚信档案。</w:t>
      </w:r>
    </w:p>
    <w:bookmarkEnd w:id="66"/>
    <w:bookmarkEnd w:id="67"/>
    <w:bookmarkEnd w:id="68"/>
    <w:p>
      <w:pPr>
        <w:widowControl/>
        <w:adjustRightInd/>
        <w:spacing w:line="240" w:lineRule="auto"/>
        <w:jc w:val="both"/>
        <w:textAlignment w:val="auto"/>
        <w:rPr>
          <w:rFonts w:hint="eastAsia" w:ascii="仿宋_GB2312" w:hAnsi="仿宋_GB2312" w:eastAsia="仿宋_GB2312" w:cs="仿宋_GB2312"/>
          <w:b/>
          <w:bCs/>
          <w:kern w:val="44"/>
          <w:sz w:val="28"/>
          <w:szCs w:val="28"/>
        </w:rPr>
      </w:pPr>
      <w:bookmarkStart w:id="87" w:name="_Toc403987212"/>
      <w:r>
        <w:rPr>
          <w:rFonts w:hint="eastAsia" w:ascii="仿宋_GB2312" w:hAnsi="仿宋_GB2312" w:eastAsia="仿宋_GB2312" w:cs="仿宋_GB2312"/>
          <w:sz w:val="28"/>
          <w:szCs w:val="28"/>
        </w:rPr>
        <w:br w:type="page"/>
      </w:r>
    </w:p>
    <w:p>
      <w:pPr>
        <w:pStyle w:val="2"/>
        <w:jc w:val="center"/>
        <w:rPr>
          <w:rFonts w:hint="eastAsia" w:ascii="仿宋_GB2312" w:hAnsi="仿宋_GB2312" w:eastAsia="仿宋_GB2312" w:cs="仿宋_GB2312"/>
          <w:sz w:val="28"/>
          <w:szCs w:val="28"/>
        </w:rPr>
      </w:pPr>
      <w:bookmarkStart w:id="88" w:name="_Toc3054"/>
      <w:r>
        <w:rPr>
          <w:rFonts w:hint="eastAsia" w:ascii="仿宋_GB2312" w:hAnsi="仿宋_GB2312" w:eastAsia="仿宋_GB2312" w:cs="仿宋_GB2312"/>
          <w:sz w:val="28"/>
          <w:szCs w:val="28"/>
        </w:rPr>
        <w:t>第三章  成交标准</w:t>
      </w:r>
      <w:bookmarkEnd w:id="88"/>
    </w:p>
    <w:p>
      <w:pPr>
        <w:keepNext/>
        <w:keepLines/>
        <w:tabs>
          <w:tab w:val="left" w:pos="2324"/>
        </w:tabs>
        <w:spacing w:before="156" w:beforeLines="50" w:after="156" w:afterLines="50" w:line="300" w:lineRule="auto"/>
        <w:ind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本项目采用综合评分法确定</w:t>
      </w:r>
      <w:r>
        <w:rPr>
          <w:rFonts w:hint="eastAsia" w:ascii="仿宋_GB2312" w:hAnsi="仿宋_GB2312" w:eastAsia="仿宋_GB2312" w:cs="仿宋_GB2312"/>
          <w:sz w:val="28"/>
          <w:szCs w:val="28"/>
          <w:lang w:val="en-US" w:eastAsia="zh-CN"/>
        </w:rPr>
        <w:t>成交</w:t>
      </w:r>
      <w:r>
        <w:rPr>
          <w:rFonts w:hint="eastAsia" w:ascii="仿宋_GB2312" w:hAnsi="仿宋_GB2312" w:eastAsia="仿宋_GB2312" w:cs="仿宋_GB2312"/>
          <w:sz w:val="28"/>
          <w:szCs w:val="28"/>
        </w:rPr>
        <w:t>候选人。</w:t>
      </w:r>
      <w:r>
        <w:rPr>
          <w:rFonts w:hint="eastAsia" w:ascii="仿宋_GB2312" w:hAnsi="仿宋_GB2312" w:eastAsia="仿宋_GB2312" w:cs="仿宋_GB2312"/>
          <w:sz w:val="28"/>
          <w:szCs w:val="28"/>
          <w:lang w:val="en-US" w:eastAsia="zh-CN"/>
        </w:rPr>
        <w:t>评审</w:t>
      </w:r>
      <w:r>
        <w:rPr>
          <w:rFonts w:hint="eastAsia" w:ascii="仿宋_GB2312" w:hAnsi="仿宋_GB2312" w:eastAsia="仿宋_GB2312" w:cs="仿宋_GB2312"/>
          <w:sz w:val="28"/>
          <w:szCs w:val="28"/>
        </w:rPr>
        <w:t>委员会将按下列评分办法和标准进行评分，总分值为100分。具体分包成交标准如下：</w:t>
      </w:r>
    </w:p>
    <w:tbl>
      <w:tblPr>
        <w:tblStyle w:val="17"/>
        <w:tblW w:w="1034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7"/>
        <w:gridCol w:w="7298"/>
        <w:gridCol w:w="1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bCs/>
                <w:sz w:val="28"/>
                <w:szCs w:val="28"/>
              </w:rPr>
            </w:pPr>
            <w:r>
              <w:rPr>
                <w:rFonts w:hint="eastAsia" w:ascii="宋体" w:hAnsi="宋体" w:eastAsia="宋体" w:cs="宋体"/>
                <w:bCs/>
                <w:sz w:val="28"/>
                <w:szCs w:val="28"/>
              </w:rPr>
              <w:t>评分因素</w:t>
            </w:r>
          </w:p>
        </w:tc>
        <w:tc>
          <w:tcPr>
            <w:tcW w:w="7298" w:type="dxa"/>
            <w:vAlign w:val="center"/>
          </w:tcPr>
          <w:p>
            <w:pPr>
              <w:jc w:val="center"/>
              <w:rPr>
                <w:rFonts w:ascii="宋体" w:hAnsi="宋体" w:eastAsia="宋体" w:cs="宋体"/>
                <w:bCs/>
                <w:sz w:val="28"/>
                <w:szCs w:val="28"/>
              </w:rPr>
            </w:pPr>
            <w:r>
              <w:rPr>
                <w:rFonts w:hint="eastAsia" w:hAnsi="宋体" w:eastAsia="宋体" w:cs="宋体"/>
                <w:bCs/>
                <w:sz w:val="28"/>
                <w:szCs w:val="28"/>
                <w:lang w:val="en-US" w:eastAsia="zh-CN"/>
              </w:rPr>
              <w:t>磋商</w:t>
            </w:r>
            <w:r>
              <w:rPr>
                <w:rFonts w:hint="eastAsia" w:ascii="宋体" w:hAnsi="宋体" w:eastAsia="宋体" w:cs="宋体"/>
                <w:bCs/>
                <w:sz w:val="28"/>
                <w:szCs w:val="28"/>
              </w:rPr>
              <w:t>细则</w:t>
            </w:r>
          </w:p>
        </w:tc>
        <w:tc>
          <w:tcPr>
            <w:tcW w:w="1565" w:type="dxa"/>
            <w:vAlign w:val="center"/>
          </w:tcPr>
          <w:p>
            <w:pPr>
              <w:jc w:val="center"/>
              <w:rPr>
                <w:rFonts w:ascii="宋体" w:hAnsi="宋体" w:eastAsia="宋体" w:cs="宋体"/>
                <w:bCs/>
                <w:sz w:val="28"/>
                <w:szCs w:val="28"/>
              </w:rPr>
            </w:pPr>
            <w:r>
              <w:rPr>
                <w:rFonts w:hint="eastAsia" w:hAnsi="宋体" w:eastAsia="宋体" w:cs="宋体"/>
                <w:bCs/>
                <w:sz w:val="28"/>
                <w:szCs w:val="28"/>
                <w:lang w:val="en-US" w:eastAsia="zh-CN"/>
              </w:rPr>
              <w:t>响应</w:t>
            </w:r>
            <w:r>
              <w:rPr>
                <w:rFonts w:hint="eastAsia" w:ascii="宋体" w:hAnsi="宋体" w:eastAsia="宋体" w:cs="宋体"/>
                <w:bCs/>
                <w:sz w:val="28"/>
                <w:szCs w:val="28"/>
              </w:rPr>
              <w:t>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bCs/>
                <w:sz w:val="28"/>
                <w:szCs w:val="28"/>
              </w:rPr>
            </w:pPr>
            <w:r>
              <w:rPr>
                <w:rFonts w:hint="eastAsia" w:ascii="宋体" w:hAnsi="宋体" w:eastAsia="宋体" w:cs="宋体"/>
                <w:bCs/>
                <w:sz w:val="28"/>
                <w:szCs w:val="28"/>
              </w:rPr>
              <w:t>价格（50分）</w:t>
            </w:r>
          </w:p>
        </w:tc>
        <w:tc>
          <w:tcPr>
            <w:tcW w:w="7298" w:type="dxa"/>
            <w:vAlign w:val="center"/>
          </w:tcPr>
          <w:p>
            <w:pPr>
              <w:ind w:firstLine="560" w:firstLineChars="200"/>
              <w:jc w:val="left"/>
              <w:rPr>
                <w:rFonts w:ascii="宋体" w:hAnsi="宋体" w:eastAsia="宋体" w:cs="宋体"/>
                <w:bCs/>
                <w:sz w:val="28"/>
                <w:szCs w:val="28"/>
              </w:rPr>
            </w:pPr>
            <w:r>
              <w:rPr>
                <w:rFonts w:hint="eastAsia" w:ascii="宋体" w:hAnsi="宋体" w:eastAsia="宋体" w:cs="宋体"/>
                <w:sz w:val="28"/>
                <w:szCs w:val="28"/>
              </w:rPr>
              <w:t>满足</w:t>
            </w:r>
            <w:r>
              <w:rPr>
                <w:rFonts w:hint="eastAsia" w:hAnsi="宋体" w:eastAsia="宋体" w:cs="宋体"/>
                <w:sz w:val="28"/>
                <w:szCs w:val="28"/>
                <w:lang w:val="en-US" w:eastAsia="zh-CN"/>
              </w:rPr>
              <w:t>磋商</w:t>
            </w:r>
            <w:r>
              <w:rPr>
                <w:rFonts w:hint="eastAsia" w:ascii="宋体" w:hAnsi="宋体" w:eastAsia="宋体" w:cs="宋体"/>
                <w:sz w:val="28"/>
                <w:szCs w:val="28"/>
              </w:rPr>
              <w:t>文件要求且</w:t>
            </w:r>
            <w:r>
              <w:rPr>
                <w:rFonts w:hint="eastAsia" w:hAnsi="宋体" w:eastAsia="宋体" w:cs="宋体"/>
                <w:sz w:val="28"/>
                <w:szCs w:val="28"/>
                <w:lang w:val="en-US" w:eastAsia="zh-CN"/>
              </w:rPr>
              <w:t>报价</w:t>
            </w:r>
            <w:r>
              <w:rPr>
                <w:rFonts w:hint="eastAsia" w:ascii="宋体" w:hAnsi="宋体" w:eastAsia="宋体" w:cs="宋体"/>
                <w:sz w:val="28"/>
                <w:szCs w:val="28"/>
              </w:rPr>
              <w:t>价格最低的报价为</w:t>
            </w:r>
            <w:r>
              <w:rPr>
                <w:rFonts w:hint="eastAsia" w:hAnsi="宋体" w:eastAsia="宋体" w:cs="宋体"/>
                <w:sz w:val="28"/>
                <w:szCs w:val="28"/>
                <w:lang w:val="en-US" w:eastAsia="zh-CN"/>
              </w:rPr>
              <w:t>磋商</w:t>
            </w:r>
            <w:r>
              <w:rPr>
                <w:rFonts w:hint="eastAsia" w:ascii="宋体" w:hAnsi="宋体" w:eastAsia="宋体" w:cs="宋体"/>
                <w:sz w:val="28"/>
                <w:szCs w:val="28"/>
              </w:rPr>
              <w:t>基准价，其基准价格分为50分。其他</w:t>
            </w:r>
            <w:r>
              <w:rPr>
                <w:rFonts w:hint="eastAsia" w:hAnsi="宋体" w:eastAsia="宋体" w:cs="宋体"/>
                <w:sz w:val="28"/>
                <w:szCs w:val="28"/>
                <w:lang w:val="en-US" w:eastAsia="zh-CN"/>
              </w:rPr>
              <w:t>响应商</w:t>
            </w:r>
            <w:r>
              <w:rPr>
                <w:rFonts w:hint="eastAsia" w:ascii="宋体" w:hAnsi="宋体" w:eastAsia="宋体" w:cs="宋体"/>
                <w:sz w:val="28"/>
                <w:szCs w:val="28"/>
              </w:rPr>
              <w:t>的价格得分=（</w:t>
            </w:r>
            <w:r>
              <w:rPr>
                <w:rFonts w:hint="eastAsia" w:hAnsi="宋体" w:eastAsia="宋体" w:cs="宋体"/>
                <w:sz w:val="28"/>
                <w:szCs w:val="28"/>
                <w:lang w:val="en-US" w:eastAsia="zh-CN"/>
              </w:rPr>
              <w:t>磋商</w:t>
            </w:r>
            <w:r>
              <w:rPr>
                <w:rFonts w:hint="eastAsia" w:ascii="宋体" w:hAnsi="宋体" w:eastAsia="宋体" w:cs="宋体"/>
                <w:sz w:val="28"/>
                <w:szCs w:val="28"/>
              </w:rPr>
              <w:t>基准价/ 其他</w:t>
            </w:r>
            <w:r>
              <w:rPr>
                <w:rFonts w:hint="eastAsia" w:hAnsi="宋体" w:eastAsia="宋体" w:cs="宋体"/>
                <w:sz w:val="28"/>
                <w:szCs w:val="28"/>
                <w:lang w:val="en-US" w:eastAsia="zh-CN"/>
              </w:rPr>
              <w:t>响应商</w:t>
            </w:r>
            <w:r>
              <w:rPr>
                <w:rFonts w:hint="eastAsia" w:ascii="宋体" w:hAnsi="宋体" w:eastAsia="宋体" w:cs="宋体"/>
                <w:sz w:val="28"/>
                <w:szCs w:val="28"/>
              </w:rPr>
              <w:t>报价）×50分（精确到小数点后两位）。</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adjustRightInd w:val="0"/>
              <w:snapToGrid w:val="0"/>
              <w:jc w:val="left"/>
              <w:rPr>
                <w:rFonts w:ascii="宋体" w:hAnsi="宋体" w:eastAsia="宋体" w:cs="宋体"/>
                <w:bCs/>
                <w:sz w:val="28"/>
                <w:szCs w:val="28"/>
              </w:rPr>
            </w:pPr>
            <w:r>
              <w:rPr>
                <w:rFonts w:hint="eastAsia" w:ascii="宋体" w:hAnsi="宋体" w:eastAsia="宋体" w:cs="宋体"/>
                <w:kern w:val="0"/>
                <w:sz w:val="28"/>
                <w:szCs w:val="28"/>
              </w:rPr>
              <w:t>技术响应情况（20分）</w:t>
            </w:r>
          </w:p>
        </w:tc>
        <w:tc>
          <w:tcPr>
            <w:tcW w:w="7298" w:type="dxa"/>
          </w:tcPr>
          <w:p>
            <w:pPr>
              <w:adjustRightInd w:val="0"/>
              <w:snapToGrid w:val="0"/>
              <w:ind w:firstLine="560" w:firstLineChars="200"/>
              <w:jc w:val="left"/>
              <w:rPr>
                <w:rFonts w:ascii="宋体" w:hAnsi="宋体" w:eastAsia="宋体" w:cs="宋体"/>
                <w:sz w:val="28"/>
                <w:szCs w:val="28"/>
              </w:rPr>
            </w:pPr>
            <w:r>
              <w:rPr>
                <w:rFonts w:hint="eastAsia" w:ascii="宋体" w:hAnsi="宋体" w:eastAsia="宋体" w:cs="宋体"/>
                <w:kern w:val="0"/>
                <w:sz w:val="28"/>
                <w:szCs w:val="28"/>
              </w:rPr>
              <w:t>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商对技术要求的响应情况进行综合打分，完全响应得15-20分，部分响应得8-14分，</w:t>
            </w:r>
            <w:r>
              <w:rPr>
                <w:rFonts w:hint="eastAsia" w:ascii="宋体" w:hAnsi="宋体" w:eastAsia="宋体" w:cs="宋体"/>
                <w:sz w:val="28"/>
                <w:szCs w:val="28"/>
              </w:rPr>
              <w:t>基本响应得1-7分。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kern w:val="0"/>
                <w:sz w:val="28"/>
                <w:szCs w:val="28"/>
              </w:rPr>
            </w:pPr>
            <w:r>
              <w:rPr>
                <w:rFonts w:hint="eastAsia" w:ascii="宋体" w:hAnsi="宋体" w:eastAsia="宋体" w:cs="宋体"/>
                <w:kern w:val="0"/>
                <w:sz w:val="28"/>
                <w:szCs w:val="28"/>
              </w:rPr>
              <w:t>供货保障措施</w:t>
            </w:r>
            <w:r>
              <w:rPr>
                <w:rFonts w:hint="eastAsia" w:ascii="宋体" w:hAnsi="宋体" w:eastAsia="宋体" w:cs="宋体"/>
                <w:sz w:val="28"/>
                <w:szCs w:val="28"/>
              </w:rPr>
              <w:t>（4分）</w:t>
            </w:r>
          </w:p>
        </w:tc>
        <w:tc>
          <w:tcPr>
            <w:tcW w:w="7298" w:type="dxa"/>
            <w:vAlign w:val="center"/>
          </w:tcPr>
          <w:p>
            <w:pPr>
              <w:ind w:firstLine="560" w:firstLineChars="200"/>
              <w:jc w:val="left"/>
              <w:rPr>
                <w:rFonts w:ascii="宋体" w:hAnsi="宋体" w:eastAsia="宋体" w:cs="宋体"/>
                <w:kern w:val="0"/>
                <w:sz w:val="28"/>
                <w:szCs w:val="28"/>
              </w:rPr>
            </w:pP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商提供详细、完整的保证按时供货安装的措施及实施方案</w:t>
            </w:r>
            <w:r>
              <w:rPr>
                <w:rFonts w:hint="eastAsia" w:ascii="宋体" w:hAnsi="宋体" w:eastAsia="宋体" w:cs="宋体"/>
                <w:sz w:val="28"/>
                <w:szCs w:val="28"/>
              </w:rPr>
              <w:t>得4分，较详细、较完整得2-3分，基本详细、基本完整得1分，差或无得0分。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restart"/>
            <w:vAlign w:val="center"/>
          </w:tcPr>
          <w:p>
            <w:pPr>
              <w:adjustRightInd w:val="0"/>
              <w:snapToGrid w:val="0"/>
              <w:jc w:val="center"/>
              <w:rPr>
                <w:rFonts w:ascii="宋体" w:hAnsi="宋体" w:eastAsia="宋体" w:cs="宋体"/>
                <w:kern w:val="0"/>
                <w:sz w:val="28"/>
                <w:szCs w:val="28"/>
              </w:rPr>
            </w:pPr>
            <w:r>
              <w:rPr>
                <w:rFonts w:hint="eastAsia" w:ascii="宋体" w:hAnsi="宋体" w:eastAsia="宋体" w:cs="宋体"/>
                <w:kern w:val="0"/>
                <w:sz w:val="28"/>
                <w:szCs w:val="28"/>
              </w:rPr>
              <w:t>实力及信誉</w:t>
            </w:r>
            <w:r>
              <w:rPr>
                <w:rFonts w:hint="eastAsia" w:ascii="宋体" w:hAnsi="宋体" w:eastAsia="宋体" w:cs="宋体"/>
                <w:bCs/>
                <w:kern w:val="0"/>
                <w:sz w:val="28"/>
                <w:szCs w:val="28"/>
              </w:rPr>
              <w:t>（14分）</w:t>
            </w:r>
          </w:p>
        </w:tc>
        <w:tc>
          <w:tcPr>
            <w:tcW w:w="7298" w:type="dxa"/>
          </w:tcPr>
          <w:p>
            <w:pPr>
              <w:adjustRightInd w:val="0"/>
              <w:snapToGrid w:val="0"/>
              <w:ind w:firstLine="560" w:firstLineChars="200"/>
              <w:jc w:val="left"/>
              <w:rPr>
                <w:rFonts w:ascii="宋体" w:hAnsi="宋体" w:eastAsia="宋体" w:cs="宋体"/>
                <w:snapToGrid w:val="0"/>
                <w:sz w:val="28"/>
                <w:szCs w:val="28"/>
              </w:rPr>
            </w:pP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w:t>
            </w:r>
            <w:r>
              <w:rPr>
                <w:rFonts w:hint="eastAsia" w:ascii="宋体" w:hAnsi="宋体" w:eastAsia="宋体" w:cs="宋体"/>
                <w:sz w:val="28"/>
                <w:szCs w:val="28"/>
              </w:rPr>
              <w:t>具有电子与智能化二级及以上证书、具有</w:t>
            </w:r>
            <w:r>
              <w:rPr>
                <w:rStyle w:val="15"/>
                <w:rFonts w:hint="eastAsia" w:ascii="宋体" w:hAnsi="宋体" w:eastAsia="宋体" w:cs="宋体"/>
                <w:i w:val="0"/>
                <w:sz w:val="28"/>
                <w:szCs w:val="28"/>
                <w:shd w:val="clear" w:color="auto" w:fill="FFFFFF"/>
              </w:rPr>
              <w:t>ISO9001质量管理体系认证证书</w:t>
            </w:r>
            <w:r>
              <w:rPr>
                <w:rFonts w:hint="eastAsia" w:ascii="宋体" w:hAnsi="宋体" w:eastAsia="宋体" w:cs="宋体"/>
                <w:sz w:val="28"/>
                <w:szCs w:val="28"/>
                <w:shd w:val="clear" w:color="auto" w:fill="FFFFFF"/>
              </w:rPr>
              <w:t>、安全生产许可证，</w:t>
            </w:r>
            <w:r>
              <w:rPr>
                <w:rFonts w:hint="eastAsia" w:ascii="宋体" w:hAnsi="宋体" w:eastAsia="宋体" w:cs="宋体"/>
                <w:sz w:val="28"/>
                <w:szCs w:val="28"/>
              </w:rPr>
              <w:t>每个得2分，最高得6分。</w:t>
            </w:r>
            <w:r>
              <w:rPr>
                <w:rFonts w:hint="eastAsia" w:ascii="宋体" w:hAnsi="宋体" w:eastAsia="宋体" w:cs="宋体"/>
                <w:snapToGrid w:val="0"/>
                <w:sz w:val="28"/>
                <w:szCs w:val="28"/>
              </w:rPr>
              <w:t>（复印件装订于</w:t>
            </w: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文件中）</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djustRightInd w:val="0"/>
              <w:snapToGrid w:val="0"/>
              <w:jc w:val="center"/>
              <w:rPr>
                <w:rFonts w:ascii="宋体" w:hAnsi="宋体" w:eastAsia="宋体" w:cs="宋体"/>
                <w:kern w:val="0"/>
                <w:sz w:val="28"/>
                <w:szCs w:val="28"/>
              </w:rPr>
            </w:pPr>
          </w:p>
        </w:tc>
        <w:tc>
          <w:tcPr>
            <w:tcW w:w="7298" w:type="dxa"/>
          </w:tcPr>
          <w:p>
            <w:pPr>
              <w:adjustRightInd w:val="0"/>
              <w:snapToGrid w:val="0"/>
              <w:ind w:firstLine="560" w:firstLineChars="200"/>
              <w:jc w:val="left"/>
              <w:rPr>
                <w:rFonts w:ascii="宋体" w:hAnsi="宋体" w:eastAsia="宋体" w:cs="宋体"/>
                <w:kern w:val="0"/>
                <w:sz w:val="28"/>
                <w:szCs w:val="28"/>
              </w:rPr>
            </w:pPr>
            <w:r>
              <w:rPr>
                <w:rFonts w:hint="eastAsia" w:ascii="宋体" w:hAnsi="宋体" w:eastAsia="宋体" w:cs="宋体"/>
                <w:sz w:val="28"/>
                <w:szCs w:val="28"/>
              </w:rPr>
              <w:t>2015年1月1日（以合同签订时间为准）以来，</w:t>
            </w:r>
            <w:r>
              <w:rPr>
                <w:rFonts w:hint="eastAsia" w:hAnsi="宋体" w:eastAsia="宋体" w:cs="宋体"/>
                <w:sz w:val="28"/>
                <w:szCs w:val="28"/>
                <w:lang w:eastAsia="zh-CN"/>
              </w:rPr>
              <w:t>响应商</w:t>
            </w:r>
            <w:r>
              <w:rPr>
                <w:rFonts w:hint="eastAsia" w:ascii="宋体" w:hAnsi="宋体" w:eastAsia="宋体" w:cs="宋体"/>
                <w:sz w:val="28"/>
                <w:szCs w:val="28"/>
              </w:rPr>
              <w:t>所投品牌厂家完成过单笔合同金额＞10万元的同类业绩，每份合同得2分，满分6分（合同复印件装订于</w:t>
            </w:r>
            <w:r>
              <w:rPr>
                <w:rFonts w:hint="eastAsia" w:hAnsi="宋体" w:eastAsia="宋体" w:cs="宋体"/>
                <w:sz w:val="28"/>
                <w:szCs w:val="28"/>
                <w:lang w:val="en-US" w:eastAsia="zh-CN"/>
              </w:rPr>
              <w:t>响应</w:t>
            </w:r>
            <w:r>
              <w:rPr>
                <w:rFonts w:hint="eastAsia" w:ascii="宋体" w:hAnsi="宋体" w:eastAsia="宋体" w:cs="宋体"/>
                <w:sz w:val="28"/>
                <w:szCs w:val="28"/>
              </w:rPr>
              <w:t xml:space="preserve">文件中） </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djustRightInd w:val="0"/>
              <w:snapToGrid w:val="0"/>
              <w:jc w:val="center"/>
              <w:rPr>
                <w:rFonts w:ascii="宋体" w:hAnsi="宋体" w:eastAsia="宋体" w:cs="宋体"/>
                <w:kern w:val="0"/>
                <w:sz w:val="28"/>
                <w:szCs w:val="28"/>
              </w:rPr>
            </w:pPr>
          </w:p>
        </w:tc>
        <w:tc>
          <w:tcPr>
            <w:tcW w:w="7298" w:type="dxa"/>
          </w:tcPr>
          <w:p>
            <w:pPr>
              <w:adjustRightInd w:val="0"/>
              <w:snapToGrid w:val="0"/>
              <w:ind w:firstLine="560" w:firstLineChars="200"/>
              <w:jc w:val="left"/>
              <w:rPr>
                <w:rFonts w:ascii="宋体" w:hAnsi="宋体" w:eastAsia="宋体" w:cs="宋体"/>
                <w:bCs/>
                <w:kern w:val="0"/>
                <w:sz w:val="28"/>
                <w:szCs w:val="28"/>
              </w:rPr>
            </w:pPr>
            <w:r>
              <w:rPr>
                <w:rFonts w:hint="eastAsia" w:hAnsi="宋体" w:eastAsia="宋体" w:cs="宋体"/>
                <w:sz w:val="28"/>
                <w:szCs w:val="28"/>
                <w:lang w:val="en-US" w:eastAsia="zh-CN"/>
              </w:rPr>
              <w:t>响应</w:t>
            </w:r>
            <w:r>
              <w:rPr>
                <w:rFonts w:hint="eastAsia" w:ascii="宋体" w:hAnsi="宋体" w:eastAsia="宋体" w:cs="宋体"/>
                <w:sz w:val="28"/>
                <w:szCs w:val="28"/>
              </w:rPr>
              <w:t>商具备“重质量守信誉诚信施工单位”证书得1分；提供信用评级机构出具的信用评级报告为AAA级的得1分。</w:t>
            </w:r>
            <w:r>
              <w:rPr>
                <w:rFonts w:hint="eastAsia" w:ascii="宋体" w:hAnsi="宋体" w:eastAsia="宋体" w:cs="宋体"/>
                <w:kern w:val="0"/>
                <w:sz w:val="28"/>
                <w:szCs w:val="28"/>
                <w:lang w:val="zh-CN"/>
              </w:rPr>
              <w:t>（复印件装订于</w:t>
            </w:r>
            <w:r>
              <w:rPr>
                <w:rFonts w:hint="eastAsia" w:hAnsi="宋体" w:eastAsia="宋体" w:cs="宋体"/>
                <w:kern w:val="0"/>
                <w:sz w:val="28"/>
                <w:szCs w:val="28"/>
                <w:lang w:val="en-US" w:eastAsia="zh-CN"/>
              </w:rPr>
              <w:t>响应</w:t>
            </w:r>
            <w:r>
              <w:rPr>
                <w:rFonts w:hint="eastAsia" w:ascii="宋体" w:hAnsi="宋体" w:eastAsia="宋体" w:cs="宋体"/>
                <w:kern w:val="0"/>
                <w:sz w:val="28"/>
                <w:szCs w:val="28"/>
                <w:lang w:val="zh-CN"/>
              </w:rPr>
              <w:t>文件中）</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restart"/>
            <w:vAlign w:val="center"/>
          </w:tcPr>
          <w:p>
            <w:pPr>
              <w:widowControl/>
              <w:rPr>
                <w:rFonts w:ascii="宋体" w:hAnsi="宋体" w:eastAsia="宋体" w:cs="宋体"/>
                <w:kern w:val="0"/>
                <w:sz w:val="28"/>
                <w:szCs w:val="28"/>
              </w:rPr>
            </w:pPr>
            <w:r>
              <w:rPr>
                <w:rFonts w:hint="eastAsia" w:ascii="宋体" w:hAnsi="宋体" w:eastAsia="宋体" w:cs="宋体"/>
                <w:sz w:val="28"/>
                <w:szCs w:val="28"/>
              </w:rPr>
              <w:t>售后</w:t>
            </w:r>
            <w:r>
              <w:rPr>
                <w:rFonts w:hint="eastAsia" w:ascii="宋体" w:hAnsi="宋体" w:eastAsia="宋体" w:cs="宋体"/>
                <w:kern w:val="0"/>
                <w:sz w:val="28"/>
                <w:szCs w:val="28"/>
              </w:rPr>
              <w:t>（10分）</w:t>
            </w:r>
          </w:p>
        </w:tc>
        <w:tc>
          <w:tcPr>
            <w:tcW w:w="7298" w:type="dxa"/>
          </w:tcPr>
          <w:p>
            <w:pPr>
              <w:adjustRightInd w:val="0"/>
              <w:snapToGrid w:val="0"/>
              <w:ind w:firstLine="560" w:firstLineChars="200"/>
              <w:jc w:val="left"/>
              <w:rPr>
                <w:rFonts w:ascii="宋体" w:hAnsi="宋体" w:eastAsia="宋体" w:cs="宋体"/>
                <w:sz w:val="28"/>
                <w:szCs w:val="28"/>
              </w:rPr>
            </w:pPr>
            <w:r>
              <w:rPr>
                <w:rFonts w:hint="eastAsia" w:ascii="宋体" w:hAnsi="宋体" w:eastAsia="宋体" w:cs="宋体"/>
                <w:bCs/>
                <w:sz w:val="28"/>
                <w:szCs w:val="28"/>
              </w:rPr>
              <w:t>培训计划：</w:t>
            </w:r>
            <w:r>
              <w:rPr>
                <w:rFonts w:hint="eastAsia" w:ascii="宋体" w:hAnsi="宋体" w:eastAsia="宋体" w:cs="宋体"/>
                <w:sz w:val="28"/>
                <w:szCs w:val="28"/>
              </w:rPr>
              <w:t>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商提供的培训方案综合打分。</w:t>
            </w:r>
            <w:r>
              <w:rPr>
                <w:rFonts w:hint="eastAsia" w:ascii="宋体" w:hAnsi="宋体" w:eastAsia="宋体" w:cs="宋体"/>
                <w:sz w:val="28"/>
                <w:szCs w:val="28"/>
              </w:rPr>
              <w:t>详细、可行得4分，较详细、较可行得2-3分，基本详细、基本可行得1分，差或无得0分。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autoSpaceDN w:val="0"/>
              <w:rPr>
                <w:rFonts w:ascii="宋体" w:hAnsi="宋体" w:eastAsia="宋体" w:cs="宋体"/>
                <w:bCs/>
                <w:kern w:val="0"/>
                <w:sz w:val="28"/>
                <w:szCs w:val="28"/>
              </w:rPr>
            </w:pPr>
          </w:p>
        </w:tc>
        <w:tc>
          <w:tcPr>
            <w:tcW w:w="7298" w:type="dxa"/>
            <w:vAlign w:val="center"/>
          </w:tcPr>
          <w:p>
            <w:pPr>
              <w:autoSpaceDN w:val="0"/>
              <w:ind w:firstLine="560" w:firstLineChars="200"/>
              <w:rPr>
                <w:rFonts w:ascii="宋体" w:hAnsi="宋体" w:eastAsia="宋体" w:cs="宋体"/>
                <w:kern w:val="0"/>
                <w:sz w:val="28"/>
                <w:szCs w:val="28"/>
              </w:rPr>
            </w:pPr>
            <w:r>
              <w:rPr>
                <w:rFonts w:hint="eastAsia" w:ascii="宋体" w:hAnsi="宋体" w:eastAsia="宋体" w:cs="宋体"/>
                <w:sz w:val="28"/>
                <w:szCs w:val="28"/>
              </w:rPr>
              <w:t>售后维护：根据</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商提供的售后维护方案综合打分。完整、详细得4分，较完整、较详细得2-3分，基本完整、基本详细得1分，差或无得0分。</w:t>
            </w:r>
          </w:p>
        </w:tc>
        <w:tc>
          <w:tcPr>
            <w:tcW w:w="1565" w:type="dxa"/>
            <w:vAlign w:val="center"/>
          </w:tcPr>
          <w:p>
            <w:pPr>
              <w:jc w:val="center"/>
              <w:rPr>
                <w:rFonts w:ascii="宋体" w:hAnsi="宋体" w:eastAsia="宋体" w:cs="宋体"/>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477" w:type="dxa"/>
            <w:vMerge w:val="continue"/>
            <w:vAlign w:val="center"/>
          </w:tcPr>
          <w:p>
            <w:pPr>
              <w:widowControl/>
              <w:rPr>
                <w:rFonts w:ascii="宋体" w:hAnsi="宋体" w:eastAsia="宋体" w:cs="宋体"/>
                <w:kern w:val="0"/>
                <w:sz w:val="28"/>
                <w:szCs w:val="28"/>
              </w:rPr>
            </w:pPr>
          </w:p>
        </w:tc>
        <w:tc>
          <w:tcPr>
            <w:tcW w:w="7298" w:type="dxa"/>
            <w:vAlign w:val="center"/>
          </w:tcPr>
          <w:p>
            <w:pPr>
              <w:widowControl/>
              <w:ind w:firstLine="560" w:firstLineChars="200"/>
              <w:rPr>
                <w:rFonts w:ascii="宋体" w:hAnsi="宋体" w:eastAsia="宋体" w:cs="宋体"/>
                <w:kern w:val="0"/>
                <w:sz w:val="28"/>
                <w:szCs w:val="28"/>
              </w:rPr>
            </w:pPr>
            <w:r>
              <w:rPr>
                <w:rFonts w:hint="eastAsia" w:ascii="宋体" w:hAnsi="宋体" w:eastAsia="宋体" w:cs="宋体"/>
                <w:kern w:val="0"/>
                <w:sz w:val="28"/>
                <w:szCs w:val="28"/>
              </w:rPr>
              <w:t>质保期：</w:t>
            </w:r>
            <w:r>
              <w:rPr>
                <w:rFonts w:hint="eastAsia" w:hAnsi="宋体" w:eastAsia="宋体" w:cs="宋体"/>
                <w:kern w:val="0"/>
                <w:sz w:val="28"/>
                <w:szCs w:val="28"/>
                <w:lang w:val="en-US" w:eastAsia="zh-CN"/>
              </w:rPr>
              <w:t>响应</w:t>
            </w:r>
            <w:r>
              <w:rPr>
                <w:rFonts w:hint="eastAsia" w:ascii="宋体" w:hAnsi="宋体" w:eastAsia="宋体" w:cs="宋体"/>
                <w:kern w:val="0"/>
                <w:sz w:val="28"/>
                <w:szCs w:val="28"/>
              </w:rPr>
              <w:t>商承诺本项目质保期在满足</w:t>
            </w:r>
            <w:r>
              <w:rPr>
                <w:rFonts w:hint="eastAsia" w:hAnsi="宋体" w:eastAsia="宋体" w:cs="宋体"/>
                <w:kern w:val="0"/>
                <w:sz w:val="28"/>
                <w:szCs w:val="28"/>
                <w:lang w:val="en-US" w:eastAsia="zh-CN"/>
              </w:rPr>
              <w:t>磋商</w:t>
            </w:r>
            <w:r>
              <w:rPr>
                <w:rFonts w:hint="eastAsia" w:ascii="宋体" w:hAnsi="宋体" w:eastAsia="宋体" w:cs="宋体"/>
                <w:kern w:val="0"/>
                <w:sz w:val="28"/>
                <w:szCs w:val="28"/>
              </w:rPr>
              <w:t>文件要求的基础上，每增加6个月得1分，满分2分。</w:t>
            </w:r>
          </w:p>
        </w:tc>
        <w:tc>
          <w:tcPr>
            <w:tcW w:w="1565" w:type="dxa"/>
            <w:vAlign w:val="center"/>
          </w:tcPr>
          <w:p>
            <w:pPr>
              <w:jc w:val="center"/>
              <w:rPr>
                <w:rFonts w:ascii="宋体" w:hAnsi="宋体" w:eastAsia="宋体" w:cs="宋体"/>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477" w:type="dxa"/>
            <w:vAlign w:val="center"/>
          </w:tcPr>
          <w:p>
            <w:pPr>
              <w:jc w:val="center"/>
              <w:rPr>
                <w:rFonts w:ascii="宋体" w:hAnsi="宋体" w:eastAsia="宋体" w:cs="宋体"/>
                <w:kern w:val="0"/>
                <w:sz w:val="28"/>
                <w:szCs w:val="28"/>
              </w:rPr>
            </w:pP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文件规范性和完整性（2分）</w:t>
            </w:r>
          </w:p>
        </w:tc>
        <w:tc>
          <w:tcPr>
            <w:tcW w:w="7298" w:type="dxa"/>
            <w:vAlign w:val="center"/>
          </w:tcPr>
          <w:p>
            <w:pPr>
              <w:tabs>
                <w:tab w:val="left" w:pos="0"/>
                <w:tab w:val="left" w:pos="993"/>
                <w:tab w:val="left" w:pos="1134"/>
              </w:tabs>
              <w:adjustRightInd w:val="0"/>
              <w:snapToGrid w:val="0"/>
              <w:ind w:firstLine="560" w:firstLineChars="200"/>
              <w:rPr>
                <w:rFonts w:ascii="宋体" w:hAnsi="宋体" w:eastAsia="宋体" w:cs="宋体"/>
                <w:kern w:val="0"/>
                <w:sz w:val="28"/>
                <w:szCs w:val="28"/>
              </w:rPr>
            </w:pPr>
            <w:r>
              <w:rPr>
                <w:rFonts w:hint="eastAsia" w:hAnsi="宋体" w:eastAsia="宋体" w:cs="宋体"/>
                <w:snapToGrid w:val="0"/>
                <w:sz w:val="28"/>
                <w:szCs w:val="28"/>
                <w:lang w:val="en-US" w:eastAsia="zh-CN"/>
              </w:rPr>
              <w:t>响应</w:t>
            </w:r>
            <w:r>
              <w:rPr>
                <w:rFonts w:hint="eastAsia" w:ascii="宋体" w:hAnsi="宋体" w:eastAsia="宋体" w:cs="宋体"/>
                <w:snapToGrid w:val="0"/>
                <w:sz w:val="28"/>
                <w:szCs w:val="28"/>
              </w:rPr>
              <w:t>文件内容完备，</w:t>
            </w:r>
            <w:r>
              <w:rPr>
                <w:rFonts w:hint="eastAsia" w:ascii="宋体" w:hAnsi="宋体" w:eastAsia="宋体" w:cs="宋体"/>
                <w:bCs/>
                <w:kern w:val="0"/>
                <w:sz w:val="28"/>
                <w:szCs w:val="28"/>
              </w:rPr>
              <w:t>格式规范，</w:t>
            </w:r>
            <w:r>
              <w:rPr>
                <w:rFonts w:hint="eastAsia" w:ascii="宋体" w:hAnsi="宋体" w:eastAsia="宋体" w:cs="宋体"/>
                <w:snapToGrid w:val="0"/>
                <w:sz w:val="28"/>
                <w:szCs w:val="28"/>
              </w:rPr>
              <w:t>封装整齐，满足</w:t>
            </w:r>
            <w:r>
              <w:rPr>
                <w:rFonts w:hint="eastAsia" w:hAnsi="宋体" w:eastAsia="宋体" w:cs="宋体"/>
                <w:snapToGrid w:val="0"/>
                <w:sz w:val="28"/>
                <w:szCs w:val="28"/>
                <w:lang w:val="en-US" w:eastAsia="zh-CN"/>
              </w:rPr>
              <w:t>磋商</w:t>
            </w:r>
            <w:r>
              <w:rPr>
                <w:rFonts w:hint="eastAsia" w:ascii="宋体" w:hAnsi="宋体" w:eastAsia="宋体" w:cs="宋体"/>
                <w:snapToGrid w:val="0"/>
                <w:sz w:val="28"/>
                <w:szCs w:val="28"/>
              </w:rPr>
              <w:t>文件要求得2分。没有目录或目录与内文不对应扣0.5分；编排混乱、前后矛盾，扣1分；字迹模糊难辨扣0.5分。</w:t>
            </w:r>
          </w:p>
        </w:tc>
        <w:tc>
          <w:tcPr>
            <w:tcW w:w="1565" w:type="dxa"/>
            <w:vAlign w:val="center"/>
          </w:tcPr>
          <w:p>
            <w:pPr>
              <w:jc w:val="center"/>
              <w:rPr>
                <w:rFonts w:ascii="宋体" w:hAnsi="宋体" w:eastAsia="宋体" w:cs="宋体"/>
                <w:bCs/>
                <w:sz w:val="28"/>
                <w:szCs w:val="28"/>
              </w:rPr>
            </w:pPr>
          </w:p>
        </w:tc>
      </w:tr>
    </w:tbl>
    <w:p>
      <w:pPr>
        <w:adjustRightInd/>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（1）所有认证、证明和业绩除上表要求外均需提供有效的证明材料复印件加盖公章，同时须提交原件评标现场核验，无原件不得分。</w:t>
      </w:r>
    </w:p>
    <w:p>
      <w:pPr>
        <w:ind w:firstLine="560" w:firstLineChars="200"/>
        <w:jc w:val="both"/>
        <w:rPr>
          <w:rFonts w:hint="eastAsia" w:ascii="仿宋_GB2312" w:hAnsi="仿宋_GB2312" w:eastAsia="仿宋_GB2312" w:cs="仿宋_GB2312"/>
          <w:sz w:val="28"/>
          <w:szCs w:val="28"/>
          <w:shd w:val="clear" w:color="auto" w:fill="FFFFFF"/>
        </w:rPr>
      </w:pPr>
      <w:r>
        <w:rPr>
          <w:rFonts w:hint="eastAsia" w:ascii="仿宋_GB2312" w:hAnsi="仿宋_GB2312" w:eastAsia="仿宋_GB2312" w:cs="仿宋_GB2312"/>
          <w:sz w:val="28"/>
          <w:szCs w:val="28"/>
        </w:rPr>
        <w:t>（2）</w:t>
      </w:r>
      <w:r>
        <w:rPr>
          <w:rFonts w:hint="eastAsia" w:ascii="仿宋_GB2312" w:hAnsi="仿宋_GB2312" w:eastAsia="仿宋_GB2312" w:cs="仿宋_GB2312"/>
          <w:sz w:val="28"/>
          <w:szCs w:val="28"/>
          <w:lang w:val="en-US" w:eastAsia="zh-CN"/>
        </w:rPr>
        <w:t>响应</w:t>
      </w:r>
      <w:r>
        <w:rPr>
          <w:rFonts w:hint="eastAsia" w:ascii="仿宋_GB2312" w:hAnsi="仿宋_GB2312" w:eastAsia="仿宋_GB2312" w:cs="仿宋_GB2312"/>
          <w:sz w:val="28"/>
          <w:szCs w:val="28"/>
        </w:rPr>
        <w:t>商须保证所提供资料的真实性，</w:t>
      </w:r>
      <w:r>
        <w:rPr>
          <w:rStyle w:val="15"/>
          <w:rFonts w:hint="eastAsia" w:ascii="仿宋_GB2312" w:hAnsi="仿宋_GB2312" w:eastAsia="仿宋_GB2312" w:cs="仿宋_GB2312"/>
          <w:i w:val="0"/>
          <w:iCs w:val="0"/>
          <w:sz w:val="28"/>
          <w:szCs w:val="28"/>
          <w:shd w:val="clear" w:color="auto" w:fill="FFFFFF"/>
        </w:rPr>
        <w:t>采购人有权在磋商的</w:t>
      </w:r>
      <w:r>
        <w:rPr>
          <w:rFonts w:hint="eastAsia" w:ascii="仿宋_GB2312" w:hAnsi="仿宋_GB2312" w:eastAsia="仿宋_GB2312" w:cs="仿宋_GB2312"/>
          <w:sz w:val="28"/>
          <w:szCs w:val="28"/>
          <w:shd w:val="clear" w:color="auto" w:fill="FFFFFF"/>
        </w:rPr>
        <w:t>任何阶段进行调查和核实，一经发现虚假，取消其响应资格；已成交的，取消其成交资格；情节严重的追究其法律责任。</w:t>
      </w:r>
    </w:p>
    <w:p>
      <w:pPr>
        <w:ind w:firstLine="548" w:firstLineChars="196"/>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（3）</w:t>
      </w:r>
      <w:r>
        <w:rPr>
          <w:rFonts w:hint="eastAsia" w:ascii="仿宋_GB2312" w:hAnsi="仿宋_GB2312" w:eastAsia="仿宋_GB2312" w:cs="仿宋_GB2312"/>
          <w:sz w:val="28"/>
          <w:szCs w:val="28"/>
        </w:rPr>
        <w:t>对小、微型企业产品的价格给予6%的扣除，用扣除后的价格参与评审。参加投标的中小企业，应当按照《政府采购促进中小企业发展暂行办法》（财库〔2011〕181号）的规定提供《中小企业声明函》（中小企业划型标准详见《关于印发中小企业划型标准规定的通知》工信部联企业〔2011〕300号）和</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所在地的县级以上中小企业主管部门对</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为小、微型企业的认定证明复印件；所投标产品的制造商为小、微企业的，</w:t>
      </w:r>
      <w:r>
        <w:rPr>
          <w:rFonts w:hint="eastAsia" w:ascii="仿宋_GB2312" w:hAnsi="仿宋_GB2312" w:eastAsia="仿宋_GB2312" w:cs="仿宋_GB2312"/>
          <w:sz w:val="28"/>
          <w:szCs w:val="28"/>
          <w:lang w:val="zh-CN"/>
        </w:rPr>
        <w:t>必须在“产地“栏内加填</w:t>
      </w:r>
      <w:r>
        <w:rPr>
          <w:rFonts w:hint="eastAsia" w:ascii="仿宋_GB2312" w:hAnsi="仿宋_GB2312" w:eastAsia="仿宋_GB2312" w:cs="仿宋_GB2312"/>
          <w:sz w:val="28"/>
          <w:szCs w:val="28"/>
        </w:rPr>
        <w:t>中小型企业的完整名称，并同时提供该企业所在地的县级以上中小企业主管部门对该企业为小、微型企业的认定证明复印件；如未按要求填写和提供有效证明或</w:t>
      </w:r>
      <w:r>
        <w:rPr>
          <w:rFonts w:hint="eastAsia" w:ascii="仿宋_GB2312" w:hAnsi="仿宋_GB2312" w:eastAsia="仿宋_GB2312" w:cs="仿宋_GB2312"/>
          <w:sz w:val="28"/>
          <w:szCs w:val="28"/>
          <w:lang w:val="zh-CN"/>
        </w:rPr>
        <w:t>相关内容表述不清的，</w:t>
      </w:r>
      <w:r>
        <w:rPr>
          <w:rFonts w:hint="eastAsia" w:ascii="仿宋_GB2312" w:hAnsi="仿宋_GB2312" w:eastAsia="仿宋_GB2312" w:cs="仿宋_GB2312"/>
          <w:sz w:val="28"/>
          <w:szCs w:val="28"/>
        </w:rPr>
        <w:t>不得享受价格扣除。</w:t>
      </w:r>
    </w:p>
    <w:p>
      <w:pPr>
        <w:pStyle w:val="11"/>
        <w:jc w:val="both"/>
        <w:rPr>
          <w:rFonts w:hint="eastAsia" w:ascii="仿宋_GB2312" w:hAnsi="仿宋_GB2312" w:eastAsia="仿宋_GB2312" w:cs="仿宋_GB2312"/>
          <w:b/>
          <w:bCs/>
          <w:sz w:val="28"/>
          <w:szCs w:val="28"/>
        </w:rPr>
      </w:pPr>
    </w:p>
    <w:p>
      <w:pPr>
        <w:widowControl/>
        <w:adjustRightInd/>
        <w:spacing w:line="240" w:lineRule="auto"/>
        <w:jc w:val="both"/>
        <w:textAlignment w:val="auto"/>
        <w:rPr>
          <w:rFonts w:hint="eastAsia" w:ascii="仿宋_GB2312" w:hAnsi="仿宋_GB2312" w:eastAsia="仿宋_GB2312" w:cs="仿宋_GB2312"/>
          <w:b/>
          <w:bCs/>
          <w:kern w:val="44"/>
          <w:sz w:val="28"/>
          <w:szCs w:val="28"/>
        </w:rPr>
      </w:pPr>
      <w:r>
        <w:rPr>
          <w:rFonts w:hint="eastAsia" w:ascii="仿宋_GB2312" w:hAnsi="仿宋_GB2312" w:eastAsia="仿宋_GB2312" w:cs="仿宋_GB2312"/>
          <w:sz w:val="28"/>
          <w:szCs w:val="28"/>
        </w:rPr>
        <w:br w:type="page"/>
      </w:r>
    </w:p>
    <w:p>
      <w:pPr>
        <w:pStyle w:val="2"/>
        <w:spacing w:before="0"/>
        <w:jc w:val="center"/>
        <w:rPr>
          <w:rFonts w:hint="eastAsia" w:ascii="仿宋_GB2312" w:hAnsi="仿宋_GB2312" w:eastAsia="仿宋_GB2312" w:cs="仿宋_GB2312"/>
          <w:b w:val="0"/>
          <w:sz w:val="44"/>
          <w:szCs w:val="44"/>
        </w:rPr>
      </w:pPr>
      <w:bookmarkStart w:id="89" w:name="_Toc31763"/>
      <w:r>
        <w:rPr>
          <w:rFonts w:hint="eastAsia" w:ascii="仿宋_GB2312" w:hAnsi="仿宋_GB2312" w:eastAsia="仿宋_GB2312" w:cs="仿宋_GB2312"/>
          <w:b w:val="0"/>
          <w:sz w:val="44"/>
          <w:szCs w:val="44"/>
        </w:rPr>
        <w:t xml:space="preserve">第四章 </w:t>
      </w:r>
      <w:r>
        <w:rPr>
          <w:rFonts w:hint="eastAsia" w:ascii="仿宋_GB2312" w:hAnsi="仿宋_GB2312" w:eastAsia="仿宋_GB2312" w:cs="仿宋_GB2312"/>
          <w:b w:val="0"/>
          <w:sz w:val="44"/>
          <w:szCs w:val="44"/>
          <w:lang w:val="zh-CN"/>
        </w:rPr>
        <w:t>合同草案条款</w:t>
      </w:r>
      <w:bookmarkEnd w:id="87"/>
      <w:bookmarkEnd w:id="89"/>
    </w:p>
    <w:p>
      <w:pPr>
        <w:adjustRightInd/>
        <w:ind w:firstLine="548" w:firstLineChars="196"/>
        <w:jc w:val="both"/>
        <w:textAlignment w:val="auto"/>
        <w:rPr>
          <w:rFonts w:hint="eastAsia" w:ascii="仿宋_GB2312" w:hAnsi="仿宋_GB2312" w:eastAsia="仿宋_GB2312" w:cs="仿宋_GB2312"/>
          <w:sz w:val="28"/>
          <w:szCs w:val="28"/>
        </w:rPr>
      </w:pPr>
      <w:bookmarkStart w:id="90" w:name="_Toc304906083"/>
      <w:r>
        <w:rPr>
          <w:rFonts w:hint="eastAsia" w:ascii="仿宋_GB2312" w:hAnsi="仿宋_GB2312" w:eastAsia="仿宋_GB2312" w:cs="仿宋_GB2312"/>
          <w:sz w:val="28"/>
          <w:szCs w:val="28"/>
        </w:rPr>
        <w:t>本合同为参考合同</w:t>
      </w:r>
    </w:p>
    <w:p>
      <w:pPr>
        <w:adjustRightInd/>
        <w:ind w:firstLine="548" w:firstLineChars="196"/>
        <w:jc w:val="both"/>
        <w:textAlignment w:val="auto"/>
        <w:rPr>
          <w:rFonts w:hint="eastAsia" w:ascii="仿宋_GB2312" w:hAnsi="仿宋_GB2312" w:eastAsia="仿宋_GB2312" w:cs="仿宋_GB2312"/>
          <w:sz w:val="28"/>
          <w:szCs w:val="28"/>
        </w:rPr>
      </w:pPr>
      <w:bookmarkStart w:id="91" w:name="_Toc8550"/>
      <w:r>
        <w:rPr>
          <w:rFonts w:hint="eastAsia" w:ascii="仿宋_GB2312" w:hAnsi="仿宋_GB2312" w:eastAsia="仿宋_GB2312" w:cs="仿宋_GB2312"/>
          <w:sz w:val="28"/>
          <w:szCs w:val="28"/>
        </w:rPr>
        <w:t>江苏省政府采购合同</w:t>
      </w:r>
      <w:bookmarkEnd w:id="91"/>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项目名称：                                       项目编号：</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甲方：（买方）_________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乙方：（卖方）_________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甲、乙双方根据              项目公开招标（竞争性谈判，竞争性磋商、单一来源谈判）的结果，签署本合同。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一、采购标的</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 产品/服务内容：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 服务期限：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 补充条款：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二、合同金额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2.1 本合同金额为（大写）：_________________圆整（￥__________元）人民币。本合同价款包含所有乙方提供合同约定产品和服务的报酬及乙方提供合同中产品和服务所支出的必要费用，甲方在上述合同价款之外不再向乙方支付其他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3.1乙方应按采购文件规定的时间向甲方提供有关技术资料。</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3.2 没有甲方事先书面同意，乙方不得将由甲方提供的有关合同或任何合同条文、规格、计划、图纸、样品或资料提供给与履行本合同无关的任何其他人。即使向履行本合同有关的人员提供，也应注意保密并限于履行合同的必需范围。</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四、知识产权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乙方应保证甲方在使用、接受本合同中产品和服务或其任何一部分时不受第三方提出侵犯其专利权、版权、商标权和工业设计权等知识产权的起诉。一旦出现侵权，由乙方负全部责任。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五、产权担保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乙方保证所交付标的的所有权完全属于乙方且无任何抵押、查封等产权瑕疵。</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乙方交纳的投标保证金直接转为履约保证金。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（乙方交纳人民币_________元作为本合同的履约保证金（不超过合同金额的10%）。）</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七、转包或分包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7.1本合同范围内产品或服务，应由乙方直接供应，不得转让他人供应；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7.2 除非得到甲方的书面同意，乙方不得部分分包给他人供应。</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7.3如有转让和未经甲方同意的分包行为，甲方有权给予终止合同。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八、质保期</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质保期      年。（自项目验收合格之日起计）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九、交付期、交付方式及交付地点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9.1交付期：_________。   9.2交付方式：_________。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9.3交付地点：_________。</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十、合同款支付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10.1付款方式：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十一、税费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本合同执行中相关的一切税费均由乙方负担。</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十二、质量保证及售后服务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12.1乙方应按采购文件规定和响应文件承诺的性能、技术要求、质量标准向甲方提供产品或服务。</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12.2乙方提供的产品或服务在质保期内因其本身出现质量问题，根据实际情况，经双方协商，可按以下办法处理：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（1）更换：由乙方承担所发生的全部费用。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（2）合同终止处理：合同终止，并退还甲方支付的合同款，同时应承担由此产生的所有费用，甲方不承担发生任何费用。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12.3如在使用过程中发生质量问题，乙方在接到甲方通知后在     小时内到达甲方现场。</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12.4在质保期内，乙方应对产品或服务出现的质量及安全问题负责处理解决并承担一切费用。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12.5合同标的对质量保证和售后服务另有要求的，按采购文件中的相关要求处理。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13.1甲方对乙方提交的产品或服务依据采购文件上的项目需求要求、乙方响应文件及国家有关质量标准进行验收。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13.2乙方交货前应对产品或服务作出全面检查和对验收文件进行整理，并列出清单，作为甲方验收和使用的技术条件依据，检验的结果应随服务一起提交甲方。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13.3甲方对乙方提供的产品或服务在使用前，乙方需负责培训甲方的使用操作人员，并协助甲方一起试用，直到符合技术要求，甲方才做最终验收。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13.4对技术复杂的产品或服务，甲方可请国家认可的专业检测机构参与初步验收及最终验收，并由其出具质量检测报告。</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13.5验收时乙方必须在现场，验收完毕后作出验收结果报告；采购文件规定以外的验收费用由甲乙双方协商解决。</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13.6合同标的对验收另有要求的，按采购文件中的相关要求执行。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十四、合同内容的交付</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14.1乙方应保证合同标的安全运达甲方指定地点。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14.2 使用说明书、质量检验证明书一并提交甲方。</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14.3 乙方在合同标的交付甲方48小时前通知甲方准备接收。</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14.4 合同标的在交付甲方前发生的风险均由乙方负责。</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14.5 合同标的在规定的交付期限内由乙方送达甲方指定的地点视为交付，乙方同时需通知甲方已送达；</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14.6合同标的对交付另有要求的，按采购文件中的相关要求执行。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十五、违约责任</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15.1 甲方无正当理由拒收的，甲方向乙方偿付拒收货款总值的百分之五违约金。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15.2 甲方无故逾期验收和办理合同款支付手续的,甲方应按逾期付款总额每日万分之五向乙方支付违约金。</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15.3 乙方逾期交付合同标的的，乙方应按逾期交货总额每日千分之六向甲方支付违约金，由甲方从待付合同款中扣除。逾期超过约定日期10个工作日不能交付的，甲方可解除本合同。乙方因逾期交付或因其他违约行为导致甲方解除合同的，乙方应向甲方支付合同总值5%的违约金，如造成甲方损失超过违约金的，超出部分由乙方继续承担赔偿责任。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15.4 乙方所交的产品或服务不符合项目需求要求、乙方响应文件承诺及国家有关质量标准的，甲方有权拒收，乙方愿意更换但逾期交付的，按乙方逾期交付处理。乙方拒绝更换的，甲方可单方面解除合同，并由乙方赔偿由此造成的甲方全部损失。</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十六、不可抗力事件处理</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16.1 在合同有效期内，任何一方因不可抗力事件导致不能履行合同，则合同履行期延长，其延长期与不可抗力影响期相同。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16.2 不可抗力事件发生后，应立即通知对方，并寄送有关权威机构出具的证明。</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16.3 不可抗力事件延续120天以上，双方应通过友好协商，确定是否继续履行合同。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十七、诉讼</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17.1 双方在执行合同中所发生的一切争议，应通过协商解决。如协商不成，可向合同签订地法院起诉，合同签订地在此约定为南京市。</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十八、合同生效及其它</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18.1 合同经双方法定代表人或授权委托代表人签字并加盖单位公章后生效。</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18.2本合同未尽事宜，遵照《合同法》有关条文执行。</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18.3 本合同正本一式四份，具有同等法律效力，甲方执三份，乙方执一份。</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甲方：                                   乙方：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地址：                                   地址： </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法定代表人或授权代表：                法定代表人或授权代表：</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联系电话：                               联系电话：</w:t>
      </w:r>
    </w:p>
    <w:p>
      <w:pPr>
        <w:adjustRightInd/>
        <w:ind w:firstLine="548" w:firstLineChars="196"/>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签订日期：      年  月  日</w:t>
      </w: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both"/>
        <w:rPr>
          <w:rFonts w:hint="eastAsia" w:ascii="仿宋_GB2312" w:hAnsi="仿宋_GB2312" w:eastAsia="仿宋_GB2312" w:cs="仿宋_GB2312"/>
          <w:sz w:val="28"/>
          <w:szCs w:val="28"/>
        </w:rPr>
      </w:pPr>
    </w:p>
    <w:p>
      <w:pPr>
        <w:pStyle w:val="2"/>
        <w:keepNext w:val="0"/>
        <w:keepLines w:val="0"/>
        <w:spacing w:line="360" w:lineRule="auto"/>
        <w:jc w:val="center"/>
        <w:rPr>
          <w:rFonts w:hint="eastAsia" w:ascii="仿宋_GB2312" w:hAnsi="仿宋_GB2312" w:eastAsia="仿宋_GB2312" w:cs="仿宋_GB2312"/>
          <w:sz w:val="28"/>
          <w:szCs w:val="28"/>
        </w:rPr>
      </w:pPr>
      <w:bookmarkStart w:id="92" w:name="_Toc3061"/>
    </w:p>
    <w:p>
      <w:pPr>
        <w:pStyle w:val="2"/>
        <w:keepNext w:val="0"/>
        <w:keepLines w:val="0"/>
        <w:spacing w:line="360" w:lineRule="auto"/>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第五章  </w:t>
      </w:r>
      <w:bookmarkEnd w:id="90"/>
      <w:r>
        <w:rPr>
          <w:rFonts w:hint="eastAsia" w:ascii="仿宋_GB2312" w:hAnsi="仿宋_GB2312" w:eastAsia="仿宋_GB2312" w:cs="仿宋_GB2312"/>
          <w:sz w:val="28"/>
          <w:szCs w:val="28"/>
        </w:rPr>
        <w:t>采购需求</w:t>
      </w:r>
      <w:bookmarkEnd w:id="92"/>
    </w:p>
    <w:p>
      <w:pPr>
        <w:pStyle w:val="4"/>
        <w:spacing w:line="348" w:lineRule="auto"/>
        <w:jc w:val="both"/>
        <w:outlineLvl w:val="0"/>
        <w:rPr>
          <w:rFonts w:hint="eastAsia" w:ascii="仿宋_GB2312" w:hAnsi="仿宋_GB2312" w:eastAsia="仿宋_GB2312" w:cs="仿宋_GB2312"/>
          <w:bCs/>
          <w:sz w:val="28"/>
          <w:szCs w:val="28"/>
        </w:rPr>
      </w:pPr>
      <w:bookmarkStart w:id="93" w:name="_Toc489606930"/>
      <w:bookmarkStart w:id="94" w:name="_Toc475371521"/>
      <w:bookmarkStart w:id="95" w:name="_Toc499307384"/>
      <w:bookmarkStart w:id="96" w:name="_Toc22222"/>
      <w:bookmarkStart w:id="97" w:name="_Toc475371382"/>
      <w:bookmarkStart w:id="98" w:name="_Toc492569799"/>
      <w:r>
        <w:rPr>
          <w:rFonts w:hint="eastAsia" w:ascii="仿宋_GB2312" w:hAnsi="仿宋_GB2312" w:eastAsia="仿宋_GB2312" w:cs="仿宋_GB2312"/>
          <w:bCs/>
          <w:sz w:val="28"/>
          <w:szCs w:val="28"/>
        </w:rPr>
        <w:t>（注：因考试系统的稳定性非常重要，故要求投标单位或厂家提供的产品须经过学校信息办检测，测试通过的产品由学校信息办出具证明文件，投标单位或厂家必须在投标前5个工作日内将产品提交学校信息办，并须在投标文件中附上该证明文件方为投标有效。）</w:t>
      </w:r>
    </w:p>
    <w:p>
      <w:pPr>
        <w:pStyle w:val="4"/>
        <w:spacing w:line="348" w:lineRule="auto"/>
        <w:jc w:val="both"/>
        <w:outlineLvl w:val="0"/>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标注“★”的条款为实质性要求，若有一项负偏离将被视为无效投标。</w:t>
      </w:r>
      <w:bookmarkEnd w:id="93"/>
      <w:bookmarkEnd w:id="94"/>
      <w:bookmarkEnd w:id="95"/>
      <w:bookmarkEnd w:id="96"/>
      <w:bookmarkEnd w:id="97"/>
      <w:bookmarkEnd w:id="98"/>
    </w:p>
    <w:p>
      <w:pPr>
        <w:numPr>
          <w:ilvl w:val="0"/>
          <w:numId w:val="3"/>
        </w:numPr>
        <w:spacing w:line="360" w:lineRule="auto"/>
        <w:ind w:firstLine="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基本要求</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系统设置</w:t>
      </w:r>
    </w:p>
    <w:p>
      <w:p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sz w:val="28"/>
          <w:szCs w:val="28"/>
        </w:rPr>
        <w:t>用户可根据需要，灵活的进行系统信息、模块信息的设置与修改，可调整模块的排列顺序、所属关系，为每一类型用户定义不同的模块显示、操作权限。</w:t>
      </w:r>
      <w:r>
        <w:rPr>
          <w:rFonts w:hint="eastAsia" w:ascii="仿宋_GB2312" w:hAnsi="仿宋_GB2312" w:eastAsia="仿宋_GB2312" w:cs="仿宋_GB2312"/>
          <w:color w:val="000000"/>
          <w:kern w:val="0"/>
          <w:sz w:val="28"/>
          <w:szCs w:val="28"/>
        </w:rPr>
        <w:t>用户可以方便的将非本系统的功能与系统与本系统进行整合。</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系统稳定性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须经过学校使用部门测试，要求性能稳定、运行效率高、消耗服务器资源低，可承担至少2000人大规模在线考试（支持扩展到10000人以上同时在线考试）；具有实时保存、容错交卷、实时监控功能，如遇断电、死机等特殊情况可重新在原基础上继续答题；管理员可以对考场、答题状况进行实时监控，并执行强退、作废、加时、恢复、删除等权利。学员可对试卷进行随时检测、切换、跳转。</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开放性</w:t>
      </w:r>
    </w:p>
    <w:p>
      <w:pPr>
        <w:spacing w:line="360" w:lineRule="auto"/>
        <w:ind w:firstLine="548" w:firstLineChars="196"/>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系统须支持与学校的教务系统对接；支持与试题库对接。</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组卷功能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可以进行随机组卷、人工组卷、固定随机组卷，通过设置考试种类、题型、知识点、难度、抽取数量、排列顺序等组卷策略，定义出一份完整的试卷。组卷功能集中化处理，操作简洁。</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题型</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包涵基本题型：单选、多选、不定项选择、判断、问答、填空、阅读理解、打字题、组合，可以根据业务需要，自定义题型名称、显示顺序、根据基本题型添加新题型等。</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试题录入</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支持试题批量导入、批量导出、支持图片、动画试题的录入；支持复杂的数学公式的录入；支持整张网页格式的录入。</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系统自动判分，填空、问答等主观题可按考点自动判分</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结束后，根据考试成绩发布设置，可随时或定时显示成绩。考生可以查看自己的试卷、检测错题、漏题、完整回答的试题等。评卷老师或管理人员，可对考生试卷进行人工评卷，支持正确、错误、半对等评判。</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考试监控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在考生考试时，管理员可以实时查看考生身份、考试状况、答题状况，并执行强退、作废、加时、恢复、删除等权利。</w:t>
      </w:r>
    </w:p>
    <w:p>
      <w:pPr>
        <w:numPr>
          <w:ilvl w:val="0"/>
          <w:numId w:val="4"/>
        </w:numPr>
        <w:spacing w:line="360" w:lineRule="auto"/>
        <w:ind w:firstLine="560"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Cs/>
          <w:sz w:val="28"/>
          <w:szCs w:val="28"/>
        </w:rPr>
        <w:t>★</w:t>
      </w:r>
      <w:r>
        <w:rPr>
          <w:rFonts w:hint="eastAsia" w:ascii="仿宋_GB2312" w:hAnsi="仿宋_GB2312" w:eastAsia="仿宋_GB2312" w:cs="仿宋_GB2312"/>
          <w:b/>
          <w:sz w:val="28"/>
          <w:szCs w:val="28"/>
        </w:rPr>
        <w:t>统计分析</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管理员可以对考试人员分布、考试状况、考试分类、部门、岗位等数据，进行数据表、柱状、线状、环状、饼状等多种形式、全方位的统计。</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防舞弊</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须采用多种技术防止考生在考试过程中舞弊，提高考试的权威性和公正性。例如：考生考试页面控制技术、随机取题技术、试题随机乱序技术等。</w:t>
      </w:r>
    </w:p>
    <w:p>
      <w:pPr>
        <w:numPr>
          <w:ilvl w:val="0"/>
          <w:numId w:val="4"/>
        </w:numPr>
        <w:spacing w:line="360" w:lineRule="auto"/>
        <w:ind w:firstLine="562" w:firstLineChars="20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自定义</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支持题型自定义、考生栏目自定义、系统界面自定义、用户角色自定义、用户权限自定义等功能，用户可以根据实际需要进行设定。</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b/>
          <w:bCs/>
          <w:color w:val="000000"/>
          <w:kern w:val="0"/>
          <w:sz w:val="28"/>
          <w:szCs w:val="28"/>
        </w:rPr>
        <w:t>二、具体要求</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须包含但不限于以下模块：系统首页、系统管理、组织机构管理、考试设计、考试管理、监控管理、互动交流、统计分析、我的考试、我的练习、我的账户。</w:t>
      </w:r>
    </w:p>
    <w:p>
      <w:pPr>
        <w:numPr>
          <w:ilvl w:val="0"/>
          <w:numId w:val="5"/>
        </w:numPr>
        <w:jc w:val="both"/>
        <w:rPr>
          <w:rFonts w:hint="eastAsia" w:ascii="仿宋_GB2312" w:hAnsi="仿宋_GB2312" w:eastAsia="仿宋_GB2312" w:cs="仿宋_GB2312"/>
          <w:b/>
          <w:bCs/>
          <w:sz w:val="28"/>
          <w:szCs w:val="28"/>
        </w:rPr>
      </w:pPr>
      <w:bookmarkStart w:id="99" w:name="_Toc24441"/>
      <w:r>
        <w:rPr>
          <w:rFonts w:hint="eastAsia" w:ascii="仿宋_GB2312" w:hAnsi="仿宋_GB2312" w:eastAsia="仿宋_GB2312" w:cs="仿宋_GB2312"/>
          <w:b/>
          <w:bCs/>
          <w:sz w:val="28"/>
          <w:szCs w:val="28"/>
        </w:rPr>
        <w:t>系统首页</w:t>
      </w:r>
      <w:bookmarkEnd w:id="99"/>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管理员可根据不同角色经常使用操作的需要而设定默认的首页，不同的角色可以设定不同的默认首页。</w:t>
      </w:r>
    </w:p>
    <w:p>
      <w:pPr>
        <w:numPr>
          <w:ilvl w:val="0"/>
          <w:numId w:val="5"/>
        </w:numPr>
        <w:jc w:val="both"/>
        <w:rPr>
          <w:rFonts w:hint="eastAsia" w:ascii="仿宋_GB2312" w:hAnsi="仿宋_GB2312" w:eastAsia="仿宋_GB2312" w:cs="仿宋_GB2312"/>
          <w:b/>
          <w:bCs/>
          <w:sz w:val="28"/>
          <w:szCs w:val="28"/>
        </w:rPr>
      </w:pPr>
      <w:bookmarkStart w:id="100" w:name="_Toc7668"/>
      <w:r>
        <w:rPr>
          <w:rFonts w:hint="eastAsia" w:ascii="仿宋_GB2312" w:hAnsi="仿宋_GB2312" w:eastAsia="仿宋_GB2312" w:cs="仿宋_GB2312"/>
          <w:b/>
          <w:bCs/>
          <w:sz w:val="28"/>
          <w:szCs w:val="28"/>
        </w:rPr>
        <w:t>系统管理</w:t>
      </w:r>
      <w:bookmarkEnd w:id="100"/>
    </w:p>
    <w:p>
      <w:pPr>
        <w:spacing w:line="360" w:lineRule="auto"/>
        <w:ind w:firstLine="560" w:firstLineChars="200"/>
        <w:jc w:val="both"/>
        <w:rPr>
          <w:rFonts w:hint="eastAsia" w:ascii="仿宋_GB2312" w:hAnsi="仿宋_GB2312" w:eastAsia="仿宋_GB2312" w:cs="仿宋_GB2312"/>
          <w:color w:val="000000"/>
          <w:sz w:val="28"/>
          <w:szCs w:val="28"/>
        </w:rPr>
      </w:pPr>
      <w:bookmarkStart w:id="101" w:name="_Toc276735545"/>
      <w:r>
        <w:rPr>
          <w:rFonts w:hint="eastAsia" w:ascii="仿宋_GB2312" w:hAnsi="仿宋_GB2312" w:eastAsia="仿宋_GB2312" w:cs="仿宋_GB2312"/>
          <w:sz w:val="28"/>
          <w:szCs w:val="28"/>
        </w:rPr>
        <w:t>主要是对模块管理、角色管理、系统设置、在线用户管理、版本升级说明的基本操作和基本功能进行管理。</w:t>
      </w:r>
    </w:p>
    <w:p>
      <w:pPr>
        <w:spacing w:line="360" w:lineRule="auto"/>
        <w:ind w:left="840" w:hanging="1120" w:hangingChars="4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（注：以下模块，均须有相关权限的用户，才可以进行操作）</w:t>
      </w:r>
    </w:p>
    <w:p>
      <w:pPr>
        <w:numPr>
          <w:ilvl w:val="0"/>
          <w:numId w:val="6"/>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模块管理</w:t>
      </w:r>
      <w:bookmarkEnd w:id="101"/>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sz w:val="28"/>
          <w:szCs w:val="28"/>
        </w:rPr>
        <w:t>管理员可以对模块管理进行添加模块、显示查询、导出数据、下载数据、查看、修改、删除的基本操作。</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导出数据：根据检索数据结果，将列表的信息数据导出成excel表格，供数据下载。导出、下载的权限可分予不同角色。</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下载数据：即上面提到的导出的excel表格的资源下载。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删除：将选中的该条数据删除，为保证数据完整性，权限使用中的模块无法删除。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修改：浏览选中的该条记录，修改后，按保存提交。</w:t>
      </w:r>
    </w:p>
    <w:p>
      <w:pPr>
        <w:numPr>
          <w:ilvl w:val="0"/>
          <w:numId w:val="6"/>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角色管理</w:t>
      </w:r>
    </w:p>
    <w:p>
      <w:pPr>
        <w:spacing w:line="360" w:lineRule="auto"/>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对系统角色权限进行设置，主要包含添加角色、显示查询、查看、修改、删除的基本操作。</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kern w:val="0"/>
          <w:sz w:val="28"/>
          <w:szCs w:val="28"/>
          <w:lang w:val="en-US" w:eastAsia="zh-CN" w:bidi="ar-SA"/>
        </w:rPr>
        <w:t xml:space="preserve"> 添加角色：添加一条数据，需要打开一个界面填写好，然后添加。</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显示查询：主要是将搜索的界面调用出来，提供信息的检索，以便用户找信息更快速。</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查看：查看选中的该条数据。</w:t>
      </w:r>
    </w:p>
    <w:p>
      <w:pPr>
        <w:pStyle w:val="12"/>
        <w:spacing w:before="0" w:beforeAutospacing="0" w:after="0" w:afterAutospacing="0"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修改：浏览选中的该条记录，修改后，按保存提交。</w:t>
      </w:r>
    </w:p>
    <w:p>
      <w:pPr>
        <w:spacing w:line="360" w:lineRule="auto"/>
        <w:jc w:val="both"/>
        <w:rPr>
          <w:rFonts w:hint="eastAsia" w:ascii="仿宋_GB2312" w:hAnsi="仿宋_GB2312" w:eastAsia="仿宋_GB2312" w:cs="仿宋_GB2312"/>
          <w:kern w:val="0"/>
          <w:sz w:val="28"/>
          <w:szCs w:val="28"/>
          <w:lang w:val="en-US" w:eastAsia="zh-CN" w:bidi="ar-SA"/>
        </w:rPr>
      </w:pPr>
      <w:r>
        <w:rPr>
          <w:rFonts w:hint="eastAsia" w:ascii="仿宋_GB2312" w:hAnsi="仿宋_GB2312" w:eastAsia="仿宋_GB2312" w:cs="仿宋_GB2312"/>
          <w:kern w:val="0"/>
          <w:sz w:val="28"/>
          <w:szCs w:val="28"/>
          <w:lang w:val="en-US" w:eastAsia="zh-CN" w:bidi="ar-SA"/>
        </w:rPr>
        <w:t xml:space="preserve">    删除：将选中的该条数据删除，为保证数据完整性，正在使用中的信息无法删除。</w:t>
      </w:r>
    </w:p>
    <w:p>
      <w:pPr>
        <w:numPr>
          <w:ilvl w:val="0"/>
          <w:numId w:val="6"/>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系统设置</w:t>
      </w:r>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对系统参数进行设置，主要包含系统名称、版权信息、前台Logo、前台背景、后台Logo、后台背景、浏览器Logo、默认注册角色、启用单点登录、启用防作弊端、启用注册功能、启用皮肤切换的基本操作。</w:t>
      </w:r>
    </w:p>
    <w:p>
      <w:pPr>
        <w:numPr>
          <w:ilvl w:val="0"/>
          <w:numId w:val="6"/>
        </w:numPr>
        <w:tabs>
          <w:tab w:val="left" w:pos="846"/>
        </w:tabs>
        <w:spacing w:line="360" w:lineRule="auto"/>
        <w:ind w:hanging="5"/>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
          <w:sz w:val="28"/>
          <w:szCs w:val="28"/>
        </w:rPr>
        <w:t>在线用户管理</w:t>
      </w:r>
    </w:p>
    <w:p>
      <w:pPr>
        <w:tabs>
          <w:tab w:val="left" w:pos="846"/>
        </w:tabs>
        <w:spacing w:line="360" w:lineRule="auto"/>
        <w:ind w:left="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sz w:val="28"/>
          <w:szCs w:val="28"/>
        </w:rPr>
        <w:t>管理在线用户的状态</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color w:val="000000"/>
          <w:sz w:val="28"/>
          <w:szCs w:val="28"/>
        </w:rPr>
        <w:t>强制下线、显示查询的基本操作。</w:t>
      </w:r>
    </w:p>
    <w:p>
      <w:pPr>
        <w:tabs>
          <w:tab w:val="left" w:pos="846"/>
        </w:tabs>
        <w:spacing w:line="360" w:lineRule="auto"/>
        <w:ind w:left="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强制下线：将该用户，从该系统中强制登出。</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numPr>
          <w:ilvl w:val="0"/>
          <w:numId w:val="6"/>
        </w:numPr>
        <w:tabs>
          <w:tab w:val="left" w:pos="945"/>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版本升级说明</w:t>
      </w:r>
    </w:p>
    <w:p>
      <w:pPr>
        <w:spacing w:line="360" w:lineRule="auto"/>
        <w:ind w:firstLine="560" w:firstLineChars="2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系统版本进行不定期进行更新。</w:t>
      </w:r>
    </w:p>
    <w:p>
      <w:pPr>
        <w:numPr>
          <w:ilvl w:val="0"/>
          <w:numId w:val="5"/>
        </w:numPr>
        <w:jc w:val="both"/>
        <w:rPr>
          <w:rFonts w:hint="eastAsia" w:ascii="仿宋_GB2312" w:hAnsi="仿宋_GB2312" w:eastAsia="仿宋_GB2312" w:cs="仿宋_GB2312"/>
          <w:b/>
          <w:bCs/>
          <w:sz w:val="28"/>
          <w:szCs w:val="28"/>
        </w:rPr>
      </w:pPr>
      <w:bookmarkStart w:id="102" w:name="_Toc5312"/>
      <w:r>
        <w:rPr>
          <w:rFonts w:hint="eastAsia" w:ascii="仿宋_GB2312" w:hAnsi="仿宋_GB2312" w:eastAsia="仿宋_GB2312" w:cs="仿宋_GB2312"/>
          <w:b/>
          <w:bCs/>
          <w:sz w:val="28"/>
          <w:szCs w:val="28"/>
        </w:rPr>
        <w:t>组织结构管理</w:t>
      </w:r>
      <w:bookmarkEnd w:id="102"/>
    </w:p>
    <w:p>
      <w:pPr>
        <w:spacing w:line="360" w:lineRule="auto"/>
        <w:ind w:left="426"/>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主要包括对年级管理、班级管理、用户管理的设置。</w:t>
      </w:r>
    </w:p>
    <w:p>
      <w:pPr>
        <w:numPr>
          <w:ilvl w:val="0"/>
          <w:numId w:val="7"/>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年级管理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对年级信息的维护和管理，主要</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color w:val="000000"/>
          <w:sz w:val="28"/>
          <w:szCs w:val="28"/>
        </w:rPr>
        <w:t>添加、修改、删除的基础操作。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numPr>
          <w:ilvl w:val="0"/>
          <w:numId w:val="7"/>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班级管理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对班级信息的维护和管理，主要包括添加、修改、删除的基础操作。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numPr>
          <w:ilvl w:val="0"/>
          <w:numId w:val="7"/>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用户管理</w:t>
      </w:r>
    </w:p>
    <w:p>
      <w:pPr>
        <w:spacing w:line="360" w:lineRule="auto"/>
        <w:ind w:left="1120" w:leftChars="4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包含添加用户、显示查询、导出数据、下载数据、导入用户、错误信息、查看、修改、删除的基本操作。</w:t>
      </w:r>
    </w:p>
    <w:p>
      <w:pPr>
        <w:spacing w:line="360" w:lineRule="auto"/>
        <w:ind w:left="560" w:leftChars="200"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导出数据：</w:t>
      </w:r>
      <w:r>
        <w:rPr>
          <w:rFonts w:hint="eastAsia" w:ascii="仿宋_GB2312" w:hAnsi="仿宋_GB2312" w:eastAsia="仿宋_GB2312" w:cs="仿宋_GB2312"/>
          <w:color w:val="000000"/>
          <w:kern w:val="0"/>
          <w:sz w:val="28"/>
          <w:szCs w:val="28"/>
        </w:rPr>
        <w:t>根据检索数据结果，将列表的信息数据导出成excel</w:t>
      </w:r>
      <w:r>
        <w:rPr>
          <w:rFonts w:hint="eastAsia" w:ascii="仿宋_GB2312" w:hAnsi="仿宋_GB2312" w:eastAsia="仿宋_GB2312" w:cs="仿宋_GB2312"/>
          <w:sz w:val="28"/>
          <w:szCs w:val="28"/>
        </w:rPr>
        <w:t>表格，供数据下载。导出、下载权限可分予不同角色。</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下载数据：即上面提到的导出的excl表格的资源下载。</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错误信息：是导入用户时，出现的异常和错误信息的记录。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添加用户：添加一条数据，需要打开一个界面填写好，然后添加。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numPr>
          <w:ilvl w:val="0"/>
          <w:numId w:val="5"/>
        </w:numPr>
        <w:jc w:val="both"/>
        <w:rPr>
          <w:rFonts w:hint="eastAsia" w:ascii="仿宋_GB2312" w:hAnsi="仿宋_GB2312" w:eastAsia="仿宋_GB2312" w:cs="仿宋_GB2312"/>
          <w:b/>
          <w:bCs/>
          <w:sz w:val="28"/>
          <w:szCs w:val="28"/>
        </w:rPr>
      </w:pPr>
      <w:bookmarkStart w:id="103" w:name="_Toc12560"/>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考试设计</w:t>
      </w:r>
      <w:bookmarkEnd w:id="103"/>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对知识点进行管理、对题型管理设置、对题库信息进行管理、考试类别管理、对试卷管理规则进行设置。</w:t>
      </w:r>
      <w:bookmarkStart w:id="104" w:name="_Toc276735553"/>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知识体系管理</w:t>
      </w:r>
      <w:bookmarkEnd w:id="104"/>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知识体系管理是题库的分类目录，管理员可对其进行添加、修改、删除，支持无限级分类。</w:t>
      </w:r>
      <w:bookmarkStart w:id="105" w:name="_Toc276735554"/>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题型管理</w:t>
      </w:r>
      <w:bookmarkEnd w:id="105"/>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rPr>
        <w:t>系统支持单选题、多选题、不定项选择题、判断题、填空题、简答题、打字题、组合题。也可根据实际业务需要，在以上题型基础上，新增自定义题型，包含</w:t>
      </w:r>
      <w:r>
        <w:rPr>
          <w:rFonts w:hint="eastAsia" w:ascii="仿宋_GB2312" w:hAnsi="仿宋_GB2312" w:eastAsia="仿宋_GB2312" w:cs="仿宋_GB2312"/>
          <w:color w:val="000000"/>
          <w:sz w:val="28"/>
          <w:szCs w:val="28"/>
        </w:rPr>
        <w:t>对题型进行添加、修改、查看、删除的基本操作。</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显示查询：主要是将搜索的界面调用出来，提供信息的检索，以便用户找信息更快速。</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删除：将选中的该条数据删除，为保证数据完整性，正在使用中的信息无法删除。</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添加新题型：添加一条数据，需要打开一个界面填写好，然后添加。</w:t>
      </w:r>
    </w:p>
    <w:p>
      <w:pPr>
        <w:autoSpaceDE w:val="0"/>
        <w:autoSpaceDN w:val="0"/>
        <w:adjustRightInd w:val="0"/>
        <w:spacing w:line="360" w:lineRule="auto"/>
        <w:ind w:left="564" w:leftChars="200" w:hanging="4"/>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查看：查看选中的该条数据。</w:t>
      </w:r>
    </w:p>
    <w:p>
      <w:pPr>
        <w:spacing w:line="360" w:lineRule="auto"/>
        <w:ind w:left="564" w:leftChars="200" w:hanging="4"/>
        <w:jc w:val="both"/>
        <w:rPr>
          <w:rFonts w:hint="eastAsia" w:ascii="仿宋_GB2312" w:hAnsi="仿宋_GB2312" w:eastAsia="仿宋_GB2312" w:cs="仿宋_GB2312"/>
          <w:b/>
          <w:sz w:val="28"/>
          <w:szCs w:val="28"/>
        </w:rPr>
      </w:pPr>
      <w:r>
        <w:rPr>
          <w:rFonts w:hint="eastAsia" w:ascii="仿宋_GB2312" w:hAnsi="仿宋_GB2312" w:eastAsia="仿宋_GB2312" w:cs="仿宋_GB2312"/>
          <w:color w:val="000000"/>
          <w:kern w:val="0"/>
          <w:sz w:val="28"/>
          <w:szCs w:val="28"/>
        </w:rPr>
        <w:t>修改：浏览选中的该条记录，修改后，按保存提交。</w:t>
      </w:r>
      <w:bookmarkStart w:id="106" w:name="_Toc276735555"/>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题库管理</w:t>
      </w:r>
      <w:bookmarkEnd w:id="106"/>
    </w:p>
    <w:p>
      <w:pPr>
        <w:spacing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对考试的题库进行基本的操作，包含添加试题、试题预览、显示查询、导出数据、下载数据、导入试题、错误信息、批量删除、查看、修改、删除的基本操作。</w:t>
      </w:r>
    </w:p>
    <w:p>
      <w:pPr>
        <w:spacing w:line="360" w:lineRule="auto"/>
        <w:ind w:left="564" w:leftChars="200" w:hanging="4"/>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添加试题：在系统中添加试题的相关信息，然后点击保存数据按钮。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导出数据：根据检索数据结果，将列表的信息数据导出成excel表格，供数据下载。导出、下载权限可分予不同角色。</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下载数据：即导出的excel表格的资源下载。</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错误信息：是导入试题时，出现的异常和错误信息的记录。</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导入试题：将excel的表格数据，成批的导入到试题列表。</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批量删除：选择多条数据进行删除数据。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查看：查看题目信息。</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修改：编辑题目信息。</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bookmarkStart w:id="107" w:name="_Toc276735556"/>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考试类别管理</w:t>
      </w:r>
      <w:bookmarkEnd w:id="107"/>
    </w:p>
    <w:p>
      <w:pPr>
        <w:spacing w:line="360" w:lineRule="auto"/>
        <w:ind w:firstLine="560" w:firstLineChars="200"/>
        <w:jc w:val="both"/>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考试分类管理，用于整个考试中，试卷的分类考试的分类以及练习分类。</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对试卷类别信息进行新增，修改和保存等操作。</w:t>
      </w:r>
      <w:bookmarkStart w:id="108" w:name="_Toc276735557"/>
    </w:p>
    <w:p>
      <w:pPr>
        <w:numPr>
          <w:ilvl w:val="0"/>
          <w:numId w:val="8"/>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试卷管理</w:t>
      </w:r>
      <w:bookmarkEnd w:id="108"/>
    </w:p>
    <w:p>
      <w:pPr>
        <w:spacing w:line="360" w:lineRule="auto"/>
        <w:ind w:left="560" w:leftChars="2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主要管理系统中的试卷信息，考试安排和练习安排的试卷来源都在试卷管理。</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sz w:val="28"/>
          <w:szCs w:val="28"/>
        </w:rPr>
        <w:t>题库管理主要是为组卷提供题目来源，包含</w:t>
      </w:r>
      <w:r>
        <w:rPr>
          <w:rFonts w:hint="eastAsia" w:ascii="仿宋_GB2312" w:hAnsi="仿宋_GB2312" w:eastAsia="仿宋_GB2312" w:cs="仿宋_GB2312"/>
          <w:color w:val="000000"/>
          <w:sz w:val="28"/>
          <w:szCs w:val="28"/>
        </w:rPr>
        <w:t>添加试卷、显示查询、题型管理、查看、修改、删除的基本操作。</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删除：将选中的该条数据删除，为保证数据完整性，正在使用中的信息无法删除。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添加用户：添加一条数据，需要打开一个界面填写好，然后添加。</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查看：查看选中的该条数据。</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修改：浏览选中的该条记录，修改后，按保存提交。</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出题方式：三种不同类型的出题方式。</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固定试卷（手工）：试卷中的每一个题目都需要手工的选择。</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随机试卷：只需定义好出题规则，立即生成根据规则的随机试题，每一次使用时都根据出题规则随机出题，所以每一次的试卷题目是不同的。</w:t>
      </w:r>
    </w:p>
    <w:p>
      <w:pPr>
        <w:spacing w:line="360" w:lineRule="auto"/>
        <w:ind w:left="846"/>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 xml:space="preserve"> 固定试卷（随机）：可定义规则抽取出对应规则的题目，再通过手工去筛选需要的题目。</w:t>
      </w:r>
    </w:p>
    <w:p>
      <w:pPr>
        <w:numPr>
          <w:ilvl w:val="0"/>
          <w:numId w:val="5"/>
        </w:numPr>
        <w:jc w:val="both"/>
        <w:rPr>
          <w:rFonts w:hint="eastAsia" w:ascii="仿宋_GB2312" w:hAnsi="仿宋_GB2312" w:eastAsia="仿宋_GB2312" w:cs="仿宋_GB2312"/>
          <w:b/>
          <w:bCs/>
          <w:sz w:val="28"/>
          <w:szCs w:val="28"/>
        </w:rPr>
      </w:pPr>
      <w:bookmarkStart w:id="109" w:name="_Toc21430"/>
      <w:bookmarkStart w:id="110" w:name="_Toc276735558"/>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考试管理</w:t>
      </w:r>
      <w:bookmarkEnd w:id="109"/>
      <w:bookmarkEnd w:id="110"/>
    </w:p>
    <w:p>
      <w:pPr>
        <w:spacing w:line="360" w:lineRule="auto"/>
        <w:ind w:left="560" w:leftChars="20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对考试、练习进行安排、对考试、练习进行授权、课程包管理、进行人工评卷、对成绩进行管理、对准考证进行管理。</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（以下功能，均需有相关权限的用户，才可以进行操作。</w:t>
      </w:r>
      <w:bookmarkStart w:id="111" w:name="_Toc276735559"/>
      <w:r>
        <w:rPr>
          <w:rFonts w:hint="eastAsia" w:ascii="仿宋_GB2312" w:hAnsi="仿宋_GB2312" w:eastAsia="仿宋_GB2312" w:cs="仿宋_GB2312"/>
          <w:sz w:val="28"/>
          <w:szCs w:val="28"/>
        </w:rPr>
        <w:t>）</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考试安排</w:t>
      </w:r>
      <w:bookmarkEnd w:id="111"/>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管理员安排考试、设置考试参数、对考试进行授权。</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系统可以对需要考试的人员进行授权，对该考试的评卷人员进行授权。</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授权用户在进入考场后，将根据考试安排的参数设置等信息，进行考试。</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考试结束后，将根据考试安排设置的成绩发布时间，进行成绩发布。</w:t>
      </w:r>
      <w:bookmarkStart w:id="112" w:name="_Toc276735560"/>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840" w:firstLineChars="3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修改：浏览选中的该条记录，修改后，按保存提交。</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练习安排</w:t>
      </w:r>
      <w:bookmarkEnd w:id="112"/>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管理员安排练习、设置练习参数、对练习进行练习用户授权。</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系统可以对参与练习的部门、岗位、人员进行授权。</w:t>
      </w:r>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授权用户进入考场后，将根据练习安排的参数设置等信息，进行练习。</w:t>
      </w:r>
      <w:bookmarkStart w:id="113" w:name="_Toc276735561"/>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修改：浏览选中的该条记录，修改后，按保存提</w:t>
      </w:r>
      <w:r>
        <w:rPr>
          <w:rFonts w:hint="eastAsia" w:ascii="仿宋_GB2312" w:hAnsi="仿宋_GB2312" w:eastAsia="仿宋_GB2312" w:cs="仿宋_GB2312"/>
          <w:color w:val="000000"/>
          <w:sz w:val="28"/>
          <w:szCs w:val="28"/>
        </w:rPr>
        <w:t>交。</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人工</w:t>
      </w:r>
      <w:bookmarkEnd w:id="113"/>
      <w:r>
        <w:rPr>
          <w:rFonts w:hint="eastAsia" w:ascii="仿宋_GB2312" w:hAnsi="仿宋_GB2312" w:eastAsia="仿宋_GB2312" w:cs="仿宋_GB2312"/>
          <w:b/>
          <w:sz w:val="28"/>
          <w:szCs w:val="28"/>
        </w:rPr>
        <w:t>复评</w:t>
      </w:r>
    </w:p>
    <w:p>
      <w:pPr>
        <w:spacing w:line="360" w:lineRule="auto"/>
        <w:ind w:firstLine="560" w:firstLineChars="200"/>
        <w:jc w:val="both"/>
        <w:rPr>
          <w:rFonts w:hint="eastAsia" w:ascii="仿宋_GB2312" w:hAnsi="仿宋_GB2312" w:eastAsia="仿宋_GB2312" w:cs="仿宋_GB2312"/>
          <w:sz w:val="28"/>
          <w:szCs w:val="28"/>
        </w:rPr>
      </w:pPr>
      <w:bookmarkStart w:id="114" w:name="_Toc276735562"/>
      <w:r>
        <w:rPr>
          <w:rFonts w:hint="eastAsia" w:ascii="仿宋_GB2312" w:hAnsi="仿宋_GB2312" w:eastAsia="仿宋_GB2312" w:cs="仿宋_GB2312"/>
          <w:sz w:val="28"/>
          <w:szCs w:val="28"/>
        </w:rPr>
        <w:t>考试完后，对考试过后的试卷进行人工评卷，包含显示查询和进入评卷。</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进入评卷：进入考试列表，进行评卷和阅卷。</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成绩管理</w:t>
      </w:r>
      <w:bookmarkEnd w:id="114"/>
    </w:p>
    <w:p>
      <w:pPr>
        <w:spacing w:line="360" w:lineRule="auto"/>
        <w:ind w:firstLine="560" w:firstLineChars="200"/>
        <w:jc w:val="both"/>
        <w:rPr>
          <w:rFonts w:hint="eastAsia" w:ascii="仿宋_GB2312" w:hAnsi="仿宋_GB2312" w:eastAsia="仿宋_GB2312" w:cs="仿宋_GB2312"/>
          <w:sz w:val="28"/>
          <w:szCs w:val="28"/>
        </w:rPr>
      </w:pPr>
      <w:bookmarkStart w:id="115" w:name="_Toc276735563"/>
      <w:r>
        <w:rPr>
          <w:rFonts w:hint="eastAsia" w:ascii="仿宋_GB2312" w:hAnsi="仿宋_GB2312" w:eastAsia="仿宋_GB2312" w:cs="仿宋_GB2312"/>
          <w:sz w:val="28"/>
          <w:szCs w:val="28"/>
        </w:rPr>
        <w:t>考试完后，统计相关考试的成绩。</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成绩管理：需要考生通过考试，评卷后才能看到考试。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查看成绩：进入考试信息列表，查看该考试下的成绩列表</w:t>
      </w:r>
    </w:p>
    <w:p>
      <w:pPr>
        <w:numPr>
          <w:ilvl w:val="0"/>
          <w:numId w:val="9"/>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准考证管理</w:t>
      </w:r>
      <w:bookmarkEnd w:id="115"/>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对要参加考试的用户进行自动生成准考证。</w:t>
      </w:r>
    </w:p>
    <w:p>
      <w:pPr>
        <w:numPr>
          <w:ilvl w:val="0"/>
          <w:numId w:val="5"/>
        </w:numPr>
        <w:jc w:val="both"/>
        <w:rPr>
          <w:rFonts w:hint="eastAsia" w:ascii="仿宋_GB2312" w:hAnsi="仿宋_GB2312" w:eastAsia="仿宋_GB2312" w:cs="仿宋_GB2312"/>
          <w:b/>
          <w:bCs/>
          <w:sz w:val="28"/>
          <w:szCs w:val="28"/>
        </w:rPr>
      </w:pPr>
      <w:bookmarkStart w:id="116" w:name="_Toc22509"/>
      <w:r>
        <w:rPr>
          <w:rFonts w:hint="eastAsia" w:ascii="仿宋_GB2312" w:hAnsi="仿宋_GB2312" w:eastAsia="仿宋_GB2312" w:cs="仿宋_GB2312"/>
          <w:b/>
          <w:bCs/>
          <w:sz w:val="28"/>
          <w:szCs w:val="28"/>
        </w:rPr>
        <w:t>监控管理</w:t>
      </w:r>
      <w:bookmarkEnd w:id="116"/>
      <w:bookmarkStart w:id="117" w:name="_Toc276735574"/>
      <w:r>
        <w:rPr>
          <w:rFonts w:hint="eastAsia" w:ascii="仿宋_GB2312" w:hAnsi="仿宋_GB2312" w:eastAsia="仿宋_GB2312" w:cs="仿宋_GB2312"/>
          <w:b/>
          <w:bCs/>
          <w:sz w:val="28"/>
          <w:szCs w:val="28"/>
        </w:rPr>
        <w:t>（考试监控）</w:t>
      </w:r>
    </w:p>
    <w:bookmarkEnd w:id="117"/>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对考试过程中，时时监控考场信息及操作，包含显示查询、进入监控两个功能点。</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进入监控：进入考试列表，进行考试的实时监控。</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强退：将该考生强制退出考试。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作废：将该考生该试卷作废，或者考生非法退出考试。</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恢复：在考生考试过程中，如遇死机、断网、误操作关闭等非正常退出考试，管理员可对其进行试卷恢复。当用户再次进入系统后，可在考试恢复区继续该场考试，而不影响此前的答题情况。</w:t>
      </w:r>
    </w:p>
    <w:p>
      <w:pPr>
        <w:spacing w:line="360" w:lineRule="auto"/>
        <w:ind w:firstLine="560" w:firstLineChars="2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sz w:val="28"/>
          <w:szCs w:val="28"/>
        </w:rPr>
        <w:t>加时：（时间是统计满100分钟（安排设定时间）即可，不存在强退、作废耽误时间）当某学员考试时间不够充分，需要酌情加时的，可对</w:t>
      </w:r>
      <w:r>
        <w:rPr>
          <w:rFonts w:hint="eastAsia" w:ascii="仿宋_GB2312" w:hAnsi="仿宋_GB2312" w:eastAsia="仿宋_GB2312" w:cs="仿宋_GB2312"/>
          <w:color w:val="000000"/>
          <w:kern w:val="0"/>
          <w:sz w:val="28"/>
          <w:szCs w:val="28"/>
        </w:rPr>
        <w:t>该学员进行加时操作。</w:t>
      </w:r>
    </w:p>
    <w:p>
      <w:pPr>
        <w:spacing w:line="360" w:lineRule="auto"/>
        <w:ind w:firstLine="840" w:firstLineChars="3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强退或作废等延误了时间，可以给该考生加时。</w:t>
      </w:r>
    </w:p>
    <w:p>
      <w:pPr>
        <w:numPr>
          <w:ilvl w:val="0"/>
          <w:numId w:val="5"/>
        </w:numPr>
        <w:jc w:val="both"/>
        <w:rPr>
          <w:rFonts w:hint="eastAsia" w:ascii="仿宋_GB2312" w:hAnsi="仿宋_GB2312" w:eastAsia="仿宋_GB2312" w:cs="仿宋_GB2312"/>
          <w:b/>
          <w:bCs/>
          <w:sz w:val="28"/>
          <w:szCs w:val="28"/>
        </w:rPr>
      </w:pPr>
      <w:bookmarkStart w:id="118" w:name="_Toc19970"/>
      <w:r>
        <w:rPr>
          <w:rFonts w:hint="eastAsia" w:ascii="仿宋_GB2312" w:hAnsi="仿宋_GB2312" w:eastAsia="仿宋_GB2312" w:cs="仿宋_GB2312"/>
          <w:b/>
          <w:bCs/>
          <w:sz w:val="28"/>
          <w:szCs w:val="28"/>
        </w:rPr>
        <w:t>互动交流</w:t>
      </w:r>
      <w:bookmarkEnd w:id="118"/>
    </w:p>
    <w:p>
      <w:pPr>
        <w:spacing w:line="360" w:lineRule="auto"/>
        <w:ind w:left="700" w:leftChars="250" w:firstLine="420" w:firstLine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主要包括新闻信息管理、新闻信息、公告信息管理、公告信息、</w:t>
      </w:r>
      <w:r>
        <w:rPr>
          <w:rFonts w:hint="eastAsia" w:ascii="仿宋_GB2312" w:hAnsi="仿宋_GB2312" w:eastAsia="仿宋_GB2312" w:cs="仿宋_GB2312"/>
          <w:color w:val="000000"/>
          <w:kern w:val="0"/>
          <w:sz w:val="28"/>
          <w:szCs w:val="28"/>
        </w:rPr>
        <w:t>投票内容管理</w:t>
      </w:r>
      <w:r>
        <w:rPr>
          <w:rFonts w:hint="eastAsia" w:ascii="仿宋_GB2312" w:hAnsi="仿宋_GB2312" w:eastAsia="仿宋_GB2312" w:cs="仿宋_GB2312"/>
          <w:sz w:val="28"/>
          <w:szCs w:val="28"/>
        </w:rPr>
        <w:t>、</w:t>
      </w:r>
      <w:r>
        <w:rPr>
          <w:rFonts w:hint="eastAsia" w:ascii="仿宋_GB2312" w:hAnsi="仿宋_GB2312" w:eastAsia="仿宋_GB2312" w:cs="仿宋_GB2312"/>
          <w:color w:val="000000"/>
          <w:kern w:val="0"/>
          <w:sz w:val="28"/>
          <w:szCs w:val="28"/>
        </w:rPr>
        <w:t>在线投票</w:t>
      </w:r>
      <w:r>
        <w:rPr>
          <w:rFonts w:hint="eastAsia" w:ascii="仿宋_GB2312" w:hAnsi="仿宋_GB2312" w:eastAsia="仿宋_GB2312" w:cs="仿宋_GB2312"/>
          <w:sz w:val="28"/>
          <w:szCs w:val="28"/>
        </w:rPr>
        <w:t>功能进行操作和管理。</w:t>
      </w:r>
      <w:bookmarkStart w:id="119" w:name="_Toc276735592"/>
    </w:p>
    <w:bookmarkEnd w:id="119"/>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bookmarkStart w:id="120" w:name="_Toc276735593"/>
      <w:r>
        <w:rPr>
          <w:rFonts w:hint="eastAsia" w:ascii="仿宋_GB2312" w:hAnsi="仿宋_GB2312" w:eastAsia="仿宋_GB2312" w:cs="仿宋_GB2312"/>
          <w:b/>
          <w:sz w:val="28"/>
          <w:szCs w:val="28"/>
        </w:rPr>
        <w:t>新闻信息管理</w:t>
      </w:r>
      <w:bookmarkEnd w:id="120"/>
    </w:p>
    <w:p>
      <w:pPr>
        <w:spacing w:line="360" w:lineRule="auto"/>
        <w:ind w:left="1120" w:leftChars="400"/>
        <w:jc w:val="both"/>
        <w:rPr>
          <w:rFonts w:hint="eastAsia" w:ascii="仿宋_GB2312" w:hAnsi="仿宋_GB2312" w:eastAsia="仿宋_GB2312" w:cs="仿宋_GB2312"/>
          <w:bCs/>
          <w:color w:val="000000"/>
          <w:sz w:val="28"/>
          <w:szCs w:val="28"/>
        </w:rPr>
      </w:pPr>
      <w:bookmarkStart w:id="121" w:name="_Toc276735594"/>
      <w:r>
        <w:rPr>
          <w:rFonts w:hint="eastAsia" w:ascii="仿宋_GB2312" w:hAnsi="仿宋_GB2312" w:eastAsia="仿宋_GB2312" w:cs="仿宋_GB2312"/>
          <w:bCs/>
          <w:color w:val="000000"/>
          <w:sz w:val="28"/>
          <w:szCs w:val="28"/>
        </w:rPr>
        <w:t>主要对系统发布的新闻管理和维护，</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bCs/>
          <w:color w:val="000000"/>
          <w:sz w:val="28"/>
          <w:szCs w:val="28"/>
        </w:rPr>
        <w:t>添加新闻、类别管理、显示查询、查看、修改、删除</w:t>
      </w:r>
      <w:r>
        <w:rPr>
          <w:rFonts w:hint="eastAsia" w:ascii="仿宋_GB2312" w:hAnsi="仿宋_GB2312" w:eastAsia="仿宋_GB2312" w:cs="仿宋_GB2312"/>
          <w:color w:val="000000"/>
          <w:sz w:val="28"/>
          <w:szCs w:val="28"/>
        </w:rPr>
        <w:t>的基本操作</w:t>
      </w:r>
      <w:r>
        <w:rPr>
          <w:rFonts w:hint="eastAsia" w:ascii="仿宋_GB2312" w:hAnsi="仿宋_GB2312" w:eastAsia="仿宋_GB2312" w:cs="仿宋_GB2312"/>
          <w:bCs/>
          <w:color w:val="000000"/>
          <w:sz w:val="28"/>
          <w:szCs w:val="28"/>
        </w:rPr>
        <w:t>。</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类别管理：</w:t>
      </w:r>
      <w:r>
        <w:rPr>
          <w:rFonts w:hint="eastAsia" w:ascii="仿宋_GB2312" w:hAnsi="仿宋_GB2312" w:eastAsia="仿宋_GB2312" w:cs="仿宋_GB2312"/>
          <w:sz w:val="28"/>
          <w:szCs w:val="28"/>
        </w:rPr>
        <w:t>管理员进行新增新闻类别，选择所属类别，填写名称，类型排序的保存和修改、删除的操作过程。</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删除：将选中的该条数据删除，为保证数据完整性，正在使用中的信息无法删除。</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添加：添加一条数据，需要打开一个界面填写好，然后添加。</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查看：查看选中的该条数据。</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修改：浏览选中的该条记录，修改后，提交填写数据。</w:t>
      </w:r>
    </w:p>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新闻信息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查看新闻信息。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bookmarkEnd w:id="121"/>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bookmarkStart w:id="122" w:name="_Toc276735595"/>
      <w:r>
        <w:rPr>
          <w:rFonts w:hint="eastAsia" w:ascii="仿宋_GB2312" w:hAnsi="仿宋_GB2312" w:eastAsia="仿宋_GB2312" w:cs="仿宋_GB2312"/>
          <w:b/>
          <w:sz w:val="28"/>
          <w:szCs w:val="28"/>
        </w:rPr>
        <w:t>公告信息管理</w:t>
      </w:r>
      <w:bookmarkEnd w:id="122"/>
    </w:p>
    <w:p>
      <w:pPr>
        <w:spacing w:line="360" w:lineRule="auto"/>
        <w:ind w:firstLine="1120" w:firstLineChars="4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对公告信息进行修改，删除和保存操作。</w:t>
      </w:r>
    </w:p>
    <w:p>
      <w:pPr>
        <w:autoSpaceDE w:val="0"/>
        <w:autoSpaceDN w:val="0"/>
        <w:adjustRightInd w:val="0"/>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类别管理：</w:t>
      </w:r>
      <w:r>
        <w:rPr>
          <w:rFonts w:hint="eastAsia" w:ascii="仿宋_GB2312" w:hAnsi="仿宋_GB2312" w:eastAsia="仿宋_GB2312" w:cs="仿宋_GB2312"/>
          <w:sz w:val="28"/>
          <w:szCs w:val="28"/>
        </w:rPr>
        <w:t>对公告类别进行修改，删除和保存操作。</w:t>
      </w:r>
    </w:p>
    <w:p>
      <w:pPr>
        <w:autoSpaceDE w:val="0"/>
        <w:autoSpaceDN w:val="0"/>
        <w:adjustRightInd w:val="0"/>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显示查询：主要是将搜索的界面调用出来，提供信息的检索，以便用户找信息更快速。</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删除：将选中的该条数据删除，为保证数据完整性，正在使用中的信息无法删除。</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添加：添加一条数据，需要打开一个界面填写好，然后添加。</w:t>
      </w:r>
    </w:p>
    <w:p>
      <w:pPr>
        <w:autoSpaceDE w:val="0"/>
        <w:autoSpaceDN w:val="0"/>
        <w:adjustRightInd w:val="0"/>
        <w:spacing w:line="360" w:lineRule="auto"/>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 xml:space="preserve">        查看：查看选中的该条数据。</w:t>
      </w:r>
    </w:p>
    <w:p>
      <w:pPr>
        <w:spacing w:line="360" w:lineRule="auto"/>
        <w:ind w:firstLine="1120" w:firstLineChars="40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修改：浏览选中的该条记录，修改后，提交填写数据。</w:t>
      </w:r>
    </w:p>
    <w:p>
      <w:pPr>
        <w:numPr>
          <w:ilvl w:val="0"/>
          <w:numId w:val="10"/>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公告信息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查看公告信息。</w:t>
      </w:r>
    </w:p>
    <w:p>
      <w:pPr>
        <w:spacing w:line="360" w:lineRule="auto"/>
        <w:ind w:left="897"/>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numPr>
          <w:ilvl w:val="0"/>
          <w:numId w:val="10"/>
        </w:numPr>
        <w:tabs>
          <w:tab w:val="left" w:pos="846"/>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投票内容管理</w:t>
      </w:r>
    </w:p>
    <w:p>
      <w:pPr>
        <w:spacing w:line="360" w:lineRule="auto"/>
        <w:ind w:left="1120" w:leftChars="400"/>
        <w:jc w:val="both"/>
        <w:rPr>
          <w:rFonts w:hint="eastAsia" w:ascii="仿宋_GB2312" w:hAnsi="仿宋_GB2312" w:eastAsia="仿宋_GB2312" w:cs="仿宋_GB2312"/>
          <w:bCs/>
          <w:color w:val="000000"/>
          <w:sz w:val="28"/>
          <w:szCs w:val="28"/>
        </w:rPr>
      </w:pPr>
      <w:r>
        <w:rPr>
          <w:rFonts w:hint="eastAsia" w:ascii="仿宋_GB2312" w:hAnsi="仿宋_GB2312" w:eastAsia="仿宋_GB2312" w:cs="仿宋_GB2312"/>
          <w:bCs/>
          <w:color w:val="000000"/>
          <w:sz w:val="28"/>
          <w:szCs w:val="28"/>
        </w:rPr>
        <w:t>主要对投票内容发布的管理和维护，</w:t>
      </w:r>
      <w:r>
        <w:rPr>
          <w:rFonts w:hint="eastAsia" w:ascii="仿宋_GB2312" w:hAnsi="仿宋_GB2312" w:eastAsia="仿宋_GB2312" w:cs="仿宋_GB2312"/>
          <w:bCs/>
          <w:color w:val="000000"/>
          <w:kern w:val="0"/>
          <w:sz w:val="28"/>
          <w:szCs w:val="28"/>
        </w:rPr>
        <w:t>包含</w:t>
      </w:r>
      <w:r>
        <w:rPr>
          <w:rFonts w:hint="eastAsia" w:ascii="仿宋_GB2312" w:hAnsi="仿宋_GB2312" w:eastAsia="仿宋_GB2312" w:cs="仿宋_GB2312"/>
          <w:bCs/>
          <w:color w:val="000000"/>
          <w:sz w:val="28"/>
          <w:szCs w:val="28"/>
        </w:rPr>
        <w:t>添加投票、分类管理、结果管理、显示查询、投票项管理、查看、修改、删除</w:t>
      </w:r>
      <w:r>
        <w:rPr>
          <w:rFonts w:hint="eastAsia" w:ascii="仿宋_GB2312" w:hAnsi="仿宋_GB2312" w:eastAsia="仿宋_GB2312" w:cs="仿宋_GB2312"/>
          <w:color w:val="000000"/>
          <w:sz w:val="28"/>
          <w:szCs w:val="28"/>
        </w:rPr>
        <w:t>的基本操作</w:t>
      </w:r>
      <w:r>
        <w:rPr>
          <w:rFonts w:hint="eastAsia" w:ascii="仿宋_GB2312" w:hAnsi="仿宋_GB2312" w:eastAsia="仿宋_GB2312" w:cs="仿宋_GB2312"/>
          <w:bCs/>
          <w:color w:val="000000"/>
          <w:sz w:val="28"/>
          <w:szCs w:val="28"/>
        </w:rPr>
        <w:t>。</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color w:val="000000"/>
          <w:sz w:val="28"/>
          <w:szCs w:val="28"/>
        </w:rPr>
        <w:t xml:space="preserve">       </w:t>
      </w:r>
      <w:r>
        <w:rPr>
          <w:rFonts w:hint="eastAsia" w:ascii="仿宋_GB2312" w:hAnsi="仿宋_GB2312" w:eastAsia="仿宋_GB2312" w:cs="仿宋_GB2312"/>
          <w:bCs/>
          <w:color w:val="000000"/>
          <w:kern w:val="0"/>
          <w:sz w:val="28"/>
          <w:szCs w:val="28"/>
          <w:lang w:val="en-US" w:eastAsia="zh-CN" w:bidi="ar-SA"/>
        </w:rPr>
        <w:t>添加投票：点击进入投票基本信息添加页面。</w:t>
      </w:r>
    </w:p>
    <w:p>
      <w:pPr>
        <w:spacing w:line="360" w:lineRule="auto"/>
        <w:ind w:left="568" w:leftChars="203" w:firstLine="548" w:firstLineChars="196"/>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分类管理：用于投票内容管理的分类，包含添加、修改、删除的基本操作。</w:t>
      </w:r>
    </w:p>
    <w:p>
      <w:pPr>
        <w:pStyle w:val="12"/>
        <w:spacing w:before="0" w:beforeAutospacing="0" w:after="0" w:afterAutospacing="0" w:line="360" w:lineRule="auto"/>
        <w:ind w:firstLine="1120" w:firstLineChars="400"/>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结果管理：查看投票结果。</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显示查询：主要是将搜索的界面调用出来，提供信息的检索，以便用户找信息更快速。</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投票项管理：点击进入投票项管理页面。</w:t>
      </w:r>
    </w:p>
    <w:p>
      <w:pPr>
        <w:pStyle w:val="12"/>
        <w:spacing w:before="0" w:beforeAutospacing="0" w:after="0" w:afterAutospacing="0" w:line="360" w:lineRule="auto"/>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      查看：查看投票信息。</w:t>
      </w:r>
    </w:p>
    <w:p>
      <w:pPr>
        <w:pStyle w:val="12"/>
        <w:spacing w:before="0" w:beforeAutospacing="0" w:after="0" w:afterAutospacing="0" w:line="360" w:lineRule="auto"/>
        <w:ind w:firstLine="1120" w:firstLineChars="400"/>
        <w:jc w:val="both"/>
        <w:rPr>
          <w:rFonts w:hint="eastAsia" w:ascii="仿宋_GB2312" w:hAnsi="仿宋_GB2312" w:eastAsia="仿宋_GB2312" w:cs="仿宋_GB2312"/>
          <w:bCs/>
          <w:color w:val="000000"/>
          <w:kern w:val="0"/>
          <w:sz w:val="28"/>
          <w:szCs w:val="28"/>
          <w:lang w:val="en-US" w:eastAsia="zh-CN" w:bidi="ar-SA"/>
        </w:rPr>
      </w:pPr>
      <w:r>
        <w:rPr>
          <w:rFonts w:hint="eastAsia" w:ascii="仿宋_GB2312" w:hAnsi="仿宋_GB2312" w:eastAsia="仿宋_GB2312" w:cs="仿宋_GB2312"/>
          <w:bCs/>
          <w:color w:val="000000"/>
          <w:kern w:val="0"/>
          <w:sz w:val="28"/>
          <w:szCs w:val="28"/>
          <w:lang w:val="en-US" w:eastAsia="zh-CN" w:bidi="ar-SA"/>
        </w:rPr>
        <w:t>修改：修改投票信息。</w:t>
      </w:r>
    </w:p>
    <w:p>
      <w:pPr>
        <w:pStyle w:val="12"/>
        <w:spacing w:before="0" w:beforeAutospacing="0" w:after="0" w:afterAutospacing="0" w:line="360" w:lineRule="auto"/>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bCs/>
          <w:color w:val="000000"/>
          <w:kern w:val="0"/>
          <w:sz w:val="28"/>
          <w:szCs w:val="28"/>
          <w:lang w:val="en-US" w:eastAsia="zh-CN" w:bidi="ar-SA"/>
        </w:rPr>
        <w:t xml:space="preserve">      删除：将选中的该条数据删除，为保证数据完整性，正在使用中的信息无法删除。 </w:t>
      </w:r>
      <w:r>
        <w:rPr>
          <w:rFonts w:hint="eastAsia" w:ascii="仿宋_GB2312" w:hAnsi="仿宋_GB2312" w:eastAsia="仿宋_GB2312" w:cs="仿宋_GB2312"/>
          <w:color w:val="000000"/>
          <w:sz w:val="28"/>
          <w:szCs w:val="28"/>
        </w:rPr>
        <w:t xml:space="preserve">      </w:t>
      </w:r>
    </w:p>
    <w:p>
      <w:pPr>
        <w:numPr>
          <w:ilvl w:val="0"/>
          <w:numId w:val="10"/>
        </w:numPr>
        <w:tabs>
          <w:tab w:val="left" w:pos="897"/>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在线投票</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用户选择某一投票信息可以进行投票，包含显示查询、进入投票、查看投票的基本操作。</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left="477" w:firstLine="435"/>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进入投票：</w:t>
      </w:r>
      <w:r>
        <w:rPr>
          <w:rFonts w:hint="eastAsia" w:ascii="仿宋_GB2312" w:hAnsi="仿宋_GB2312" w:eastAsia="仿宋_GB2312" w:cs="仿宋_GB2312"/>
          <w:color w:val="000000"/>
          <w:kern w:val="0"/>
          <w:sz w:val="28"/>
          <w:szCs w:val="28"/>
        </w:rPr>
        <w:t>选择某一投票信息进行投票，每个用户只能投票一次</w:t>
      </w:r>
      <w:r>
        <w:rPr>
          <w:rFonts w:hint="eastAsia" w:ascii="仿宋_GB2312" w:hAnsi="仿宋_GB2312" w:eastAsia="仿宋_GB2312" w:cs="仿宋_GB2312"/>
          <w:sz w:val="28"/>
          <w:szCs w:val="28"/>
        </w:rPr>
        <w:t>。</w:t>
      </w:r>
    </w:p>
    <w:p>
      <w:pPr>
        <w:numPr>
          <w:ilvl w:val="0"/>
          <w:numId w:val="5"/>
        </w:numPr>
        <w:jc w:val="both"/>
        <w:rPr>
          <w:rFonts w:hint="eastAsia" w:ascii="仿宋_GB2312" w:hAnsi="仿宋_GB2312" w:eastAsia="仿宋_GB2312" w:cs="仿宋_GB2312"/>
          <w:b/>
          <w:bCs/>
          <w:sz w:val="28"/>
          <w:szCs w:val="28"/>
        </w:rPr>
      </w:pPr>
      <w:bookmarkStart w:id="123" w:name="_Toc276735575"/>
      <w:bookmarkStart w:id="124" w:name="_Toc19979"/>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统计分析</w:t>
      </w:r>
      <w:bookmarkEnd w:id="123"/>
      <w:bookmarkEnd w:id="124"/>
    </w:p>
    <w:p>
      <w:pPr>
        <w:spacing w:line="360" w:lineRule="auto"/>
        <w:ind w:left="1221" w:leftChars="436"/>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主要包括考试资源统计、考试成绩统计（部门用户、岗位用户、知识点试题、知识点使用率、题型试题、考试成绩、考试按部门、考试按用户）的统计功能。</w:t>
      </w:r>
      <w:bookmarkStart w:id="125" w:name="_Toc276735576"/>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年级用户统计</w:t>
      </w:r>
      <w:bookmarkEnd w:id="125"/>
    </w:p>
    <w:p>
      <w:pPr>
        <w:spacing w:line="360" w:lineRule="auto"/>
        <w:ind w:left="700" w:leftChars="100" w:hanging="420" w:hangingChars="1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查看每个年级用户数量的情况，统计可以按数据报表，饼状图表，环状图表，柱状图表，线性图表进行查看、和要进行查看的年级进行搜索。</w:t>
      </w:r>
      <w:bookmarkStart w:id="126" w:name="_Toc276735577"/>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班级用户统计</w:t>
      </w:r>
      <w:bookmarkEnd w:id="126"/>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查看每个班级用户数量的情况，统计可以按数据报表，饼状图表，环状图表，柱状图表，线性图表进行查看、和要进行查看的班级名称进行搜索。</w:t>
      </w:r>
      <w:bookmarkStart w:id="127" w:name="_Toc276735578"/>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知识点试题统计</w:t>
      </w:r>
      <w:bookmarkEnd w:id="127"/>
    </w:p>
    <w:p>
      <w:pPr>
        <w:spacing w:line="360" w:lineRule="auto"/>
        <w:ind w:left="525" w:hanging="700" w:hangingChars="25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查看每个知识点试题数量的情况，统计可以按数据报表，饼状图表，环状图表，柱状图表，线性图表进行查看、和要进行查看的知识点试题数量进行搜索。</w:t>
      </w:r>
      <w:bookmarkStart w:id="128" w:name="_Toc276735579"/>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知识点使用率统计</w:t>
      </w:r>
      <w:bookmarkEnd w:id="128"/>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查看每个知识点名称使用的次数的情况，统计可以按数据报表，饼状图表，环状图表，柱状图表，线性图表进行查看、和要进行查看的知识点名称进行搜索。</w:t>
      </w:r>
      <w:bookmarkStart w:id="129" w:name="_Toc276735580"/>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题型试题统计</w:t>
      </w:r>
      <w:bookmarkEnd w:id="129"/>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查看每个题型的试题的情况，统计可以按数据报表，饼状图表，环状图表，柱状图表，线性图表进行查看、和要进行查看的试题名称进行搜索。</w:t>
      </w:r>
      <w:bookmarkStart w:id="130" w:name="_Toc276735581"/>
    </w:p>
    <w:p>
      <w:pPr>
        <w:numPr>
          <w:ilvl w:val="0"/>
          <w:numId w:val="11"/>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考试成绩统计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本模块用户进行“考试成绩统计”，统计人员的成绩信息。</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显示查询：显示查询面板。</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查看统计：查看选中的考试成绩的统计。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导出数据：根据检索数据结果，将列表的信息数据导出成excel表格</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rPr>
        <w:t>供数据下载。导出、下载 权限可分予不同角色。</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下载数据：即上面提到的导出的excl表格的资源下载。</w:t>
      </w:r>
    </w:p>
    <w:bookmarkEnd w:id="130"/>
    <w:p>
      <w:pPr>
        <w:numPr>
          <w:ilvl w:val="0"/>
          <w:numId w:val="11"/>
        </w:numPr>
        <w:tabs>
          <w:tab w:val="left" w:pos="897"/>
        </w:tabs>
        <w:spacing w:line="360" w:lineRule="auto"/>
        <w:ind w:hanging="5"/>
        <w:jc w:val="both"/>
        <w:rPr>
          <w:rFonts w:hint="eastAsia" w:ascii="仿宋_GB2312" w:hAnsi="仿宋_GB2312" w:eastAsia="仿宋_GB2312" w:cs="仿宋_GB2312"/>
          <w:b/>
          <w:color w:val="000000"/>
          <w:sz w:val="28"/>
          <w:szCs w:val="28"/>
        </w:rPr>
      </w:pPr>
      <w:bookmarkStart w:id="131" w:name="_Toc276735582"/>
      <w:r>
        <w:rPr>
          <w:rFonts w:hint="eastAsia" w:ascii="仿宋_GB2312" w:hAnsi="仿宋_GB2312" w:eastAsia="仿宋_GB2312" w:cs="仿宋_GB2312"/>
          <w:b/>
          <w:color w:val="000000"/>
          <w:sz w:val="28"/>
          <w:szCs w:val="28"/>
        </w:rPr>
        <w:t>考试按部门统计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bCs/>
          <w:color w:val="000000"/>
          <w:sz w:val="28"/>
          <w:szCs w:val="28"/>
        </w:rPr>
        <w:t xml:space="preserve">       </w:t>
      </w:r>
      <w:r>
        <w:rPr>
          <w:rFonts w:hint="eastAsia" w:ascii="仿宋_GB2312" w:hAnsi="仿宋_GB2312" w:eastAsia="仿宋_GB2312" w:cs="仿宋_GB2312"/>
          <w:sz w:val="28"/>
          <w:szCs w:val="28"/>
        </w:rPr>
        <w:t xml:space="preserve">  考试按部门统计：考试依照部门进行成绩统计。</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导出数据：根据检索数据结果，将列表的信息数据导出成excel表格，供数据下载。导出、下载权限可分予不同角色。</w:t>
      </w:r>
    </w:p>
    <w:p>
      <w:pPr>
        <w:spacing w:line="360" w:lineRule="auto"/>
        <w:ind w:left="420" w:hanging="560" w:hanging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下载数据：即导出的excel表格的资源下载。</w:t>
      </w:r>
    </w:p>
    <w:p>
      <w:pPr>
        <w:numPr>
          <w:ilvl w:val="0"/>
          <w:numId w:val="11"/>
        </w:numPr>
        <w:tabs>
          <w:tab w:val="left" w:pos="897"/>
        </w:tabs>
        <w:spacing w:line="360" w:lineRule="auto"/>
        <w:ind w:hanging="5"/>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考试按用户统计</w:t>
      </w:r>
    </w:p>
    <w:p>
      <w:pPr>
        <w:autoSpaceDE w:val="0"/>
        <w:autoSpaceDN w:val="0"/>
        <w:adjustRightInd w:val="0"/>
        <w:spacing w:line="360" w:lineRule="auto"/>
        <w:ind w:firstLine="1260" w:firstLineChars="450"/>
        <w:jc w:val="both"/>
        <w:rPr>
          <w:rFonts w:hint="eastAsia" w:ascii="仿宋_GB2312" w:hAnsi="仿宋_GB2312" w:eastAsia="仿宋_GB2312" w:cs="仿宋_GB2312"/>
          <w:bCs/>
          <w:color w:val="000000"/>
          <w:kern w:val="0"/>
          <w:sz w:val="28"/>
          <w:szCs w:val="28"/>
        </w:rPr>
      </w:pPr>
      <w:r>
        <w:rPr>
          <w:rFonts w:hint="eastAsia" w:ascii="仿宋_GB2312" w:hAnsi="仿宋_GB2312" w:eastAsia="仿宋_GB2312" w:cs="仿宋_GB2312"/>
          <w:bCs/>
          <w:color w:val="000000"/>
          <w:kern w:val="0"/>
          <w:sz w:val="28"/>
          <w:szCs w:val="28"/>
        </w:rPr>
        <w:t>考试按用户统计：考试依照用户进行成绩统计。</w:t>
      </w:r>
    </w:p>
    <w:p>
      <w:pPr>
        <w:autoSpaceDE w:val="0"/>
        <w:autoSpaceDN w:val="0"/>
        <w:adjustRightInd w:val="0"/>
        <w:spacing w:line="360" w:lineRule="auto"/>
        <w:ind w:left="1260" w:leftChars="450"/>
        <w:jc w:val="both"/>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导出数据：根据检索数据结果，将列表的信息数据导出成excel表格，供数据下载。导出、下载权限可分予不同角色。</w:t>
      </w:r>
    </w:p>
    <w:p>
      <w:pPr>
        <w:pStyle w:val="12"/>
        <w:spacing w:before="0" w:beforeAutospacing="0" w:after="0" w:afterAutospacing="0" w:line="360" w:lineRule="auto"/>
        <w:ind w:firstLine="1260" w:firstLineChars="4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下载数据：即导出的excel表格的资源下载。</w:t>
      </w:r>
    </w:p>
    <w:bookmarkEnd w:id="131"/>
    <w:p>
      <w:pPr>
        <w:numPr>
          <w:ilvl w:val="0"/>
          <w:numId w:val="5"/>
        </w:numPr>
        <w:jc w:val="both"/>
        <w:rPr>
          <w:rFonts w:hint="eastAsia" w:ascii="仿宋_GB2312" w:hAnsi="仿宋_GB2312" w:eastAsia="仿宋_GB2312" w:cs="仿宋_GB2312"/>
          <w:b/>
          <w:bCs/>
          <w:sz w:val="28"/>
          <w:szCs w:val="28"/>
        </w:rPr>
      </w:pPr>
      <w:bookmarkStart w:id="132" w:name="_Toc10183"/>
      <w:r>
        <w:rPr>
          <w:rFonts w:hint="eastAsia" w:ascii="仿宋_GB2312" w:hAnsi="仿宋_GB2312" w:eastAsia="仿宋_GB2312" w:cs="仿宋_GB2312"/>
          <w:bCs/>
          <w:sz w:val="28"/>
          <w:szCs w:val="28"/>
        </w:rPr>
        <w:t>★</w:t>
      </w:r>
      <w:r>
        <w:rPr>
          <w:rFonts w:hint="eastAsia" w:ascii="仿宋_GB2312" w:hAnsi="仿宋_GB2312" w:eastAsia="仿宋_GB2312" w:cs="仿宋_GB2312"/>
          <w:b/>
          <w:bCs/>
          <w:sz w:val="28"/>
          <w:szCs w:val="28"/>
        </w:rPr>
        <w:t>我的考试</w:t>
      </w:r>
      <w:bookmarkEnd w:id="132"/>
      <w:bookmarkStart w:id="133" w:name="_Toc276735565"/>
    </w:p>
    <w:p>
      <w:pPr>
        <w:numPr>
          <w:ilvl w:val="0"/>
          <w:numId w:val="12"/>
        </w:numPr>
        <w:tabs>
          <w:tab w:val="left" w:pos="846"/>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我的考试</w:t>
      </w:r>
      <w:bookmarkEnd w:id="133"/>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bookmarkStart w:id="134" w:name="_Toc276735566"/>
      <w:r>
        <w:rPr>
          <w:rFonts w:hint="eastAsia" w:ascii="仿宋_GB2312" w:hAnsi="仿宋_GB2312" w:eastAsia="仿宋_GB2312" w:cs="仿宋_GB2312"/>
          <w:color w:val="000000"/>
          <w:sz w:val="28"/>
          <w:szCs w:val="28"/>
        </w:rPr>
        <w:t>参加考试、考试恢复区、考试回收站都是考生参加考试。</w:t>
      </w:r>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在考生参加考试的时间，为了保证考试过程中考生非法退出考试的情况下（如：断电，断网，死机，非法关闭等），不丢失考生的答题记录，管理员做相应的恢复考试操作后，考生重新参加考试的区域，而管理员没有做任何处理，考试时间过了考试期限后，该考试则显示在考试回收站。</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参加考试：考生查看考试列表信息，并参加考试。</w:t>
      </w:r>
    </w:p>
    <w:bookmarkEnd w:id="134"/>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断电续考</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bookmarkStart w:id="135" w:name="_Toc276735567"/>
      <w:r>
        <w:rPr>
          <w:rFonts w:hint="eastAsia" w:ascii="仿宋_GB2312" w:hAnsi="仿宋_GB2312" w:eastAsia="仿宋_GB2312" w:cs="仿宋_GB2312"/>
          <w:kern w:val="0"/>
          <w:sz w:val="28"/>
          <w:szCs w:val="28"/>
        </w:rPr>
        <w:t>考试遭遇非正常退出，管理员可对学员试卷进行恢复操作，学员进入恢复区，即可接着考</w:t>
      </w:r>
      <w:bookmarkEnd w:id="135"/>
      <w:bookmarkStart w:id="136" w:name="_Toc276735568"/>
      <w:r>
        <w:rPr>
          <w:rFonts w:hint="eastAsia" w:ascii="仿宋_GB2312" w:hAnsi="仿宋_GB2312" w:eastAsia="仿宋_GB2312" w:cs="仿宋_GB2312"/>
          <w:sz w:val="28"/>
          <w:szCs w:val="28"/>
        </w:rPr>
        <w:t>。</w:t>
      </w:r>
    </w:p>
    <w:bookmarkEnd w:id="136"/>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我的成绩</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查看本人以前的考试成绩记录。</w:t>
      </w:r>
    </w:p>
    <w:p>
      <w:pPr>
        <w:numPr>
          <w:ilvl w:val="0"/>
          <w:numId w:val="12"/>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我的错题</w:t>
      </w:r>
    </w:p>
    <w:p>
      <w:pPr>
        <w:spacing w:line="360" w:lineRule="auto"/>
        <w:ind w:firstLine="560" w:firstLineChars="200"/>
        <w:jc w:val="both"/>
        <w:rPr>
          <w:rFonts w:hint="eastAsia" w:ascii="仿宋_GB2312" w:hAnsi="仿宋_GB2312" w:eastAsia="仿宋_GB2312" w:cs="仿宋_GB2312"/>
          <w:color w:val="000000"/>
          <w:sz w:val="28"/>
          <w:szCs w:val="28"/>
        </w:rPr>
      </w:pPr>
      <w:bookmarkStart w:id="137" w:name="_我的练习"/>
      <w:bookmarkEnd w:id="137"/>
      <w:bookmarkStart w:id="138" w:name="_Toc276735569"/>
      <w:r>
        <w:rPr>
          <w:rFonts w:hint="eastAsia" w:ascii="仿宋_GB2312" w:hAnsi="仿宋_GB2312" w:eastAsia="仿宋_GB2312" w:cs="仿宋_GB2312"/>
          <w:bCs/>
          <w:color w:val="000000"/>
          <w:sz w:val="28"/>
          <w:szCs w:val="28"/>
        </w:rPr>
        <w:t>考生正常提交考试后，答错的试题汇总。</w:t>
      </w:r>
    </w:p>
    <w:p>
      <w:pPr>
        <w:pStyle w:val="12"/>
        <w:spacing w:before="0" w:beforeAutospacing="0" w:after="0" w:afterAutospacing="0" w:line="360" w:lineRule="auto"/>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显示查询：主要是将搜索的界面调用出来，提供信息的检索，以便用户找信息更快速。</w:t>
      </w:r>
    </w:p>
    <w:p>
      <w:pPr>
        <w:spacing w:line="360" w:lineRule="auto"/>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sz w:val="28"/>
          <w:szCs w:val="28"/>
        </w:rPr>
        <w:t>查看：查看该试卷中的所有错题。</w:t>
      </w:r>
    </w:p>
    <w:p>
      <w:pPr>
        <w:numPr>
          <w:ilvl w:val="0"/>
          <w:numId w:val="5"/>
        </w:numPr>
        <w:jc w:val="both"/>
        <w:rPr>
          <w:rFonts w:hint="eastAsia" w:ascii="仿宋_GB2312" w:hAnsi="仿宋_GB2312" w:eastAsia="仿宋_GB2312" w:cs="仿宋_GB2312"/>
          <w:b/>
          <w:bCs/>
          <w:sz w:val="28"/>
          <w:szCs w:val="28"/>
        </w:rPr>
      </w:pPr>
      <w:bookmarkStart w:id="139" w:name="_Toc19197"/>
      <w:r>
        <w:rPr>
          <w:rFonts w:hint="eastAsia" w:ascii="仿宋_GB2312" w:hAnsi="仿宋_GB2312" w:eastAsia="仿宋_GB2312" w:cs="仿宋_GB2312"/>
          <w:b/>
          <w:bCs/>
          <w:sz w:val="28"/>
          <w:szCs w:val="28"/>
        </w:rPr>
        <w:t>我的练习</w:t>
      </w:r>
      <w:bookmarkEnd w:id="138"/>
      <w:bookmarkEnd w:id="139"/>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用户进行参加练习和对自己的练习进行评卷和查看历史练习记录。</w:t>
      </w:r>
      <w:bookmarkStart w:id="140" w:name="_Toc276735570"/>
    </w:p>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我的练习</w:t>
      </w:r>
      <w:bookmarkEnd w:id="140"/>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进行一些相关考试科目的知识下的题型进行联系。</w:t>
      </w:r>
      <w:bookmarkStart w:id="141" w:name="_Toc276735571"/>
    </w:p>
    <w:bookmarkEnd w:id="141"/>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练习自评</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自己对自己的练习，参照答案、自己做出评价。</w:t>
      </w:r>
      <w:bookmarkStart w:id="142" w:name="_Toc276735572"/>
    </w:p>
    <w:p>
      <w:pPr>
        <w:numPr>
          <w:ilvl w:val="0"/>
          <w:numId w:val="13"/>
        </w:numPr>
        <w:tabs>
          <w:tab w:val="left" w:pos="840"/>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练习</w:t>
      </w:r>
      <w:bookmarkEnd w:id="142"/>
      <w:r>
        <w:rPr>
          <w:rFonts w:hint="eastAsia" w:ascii="仿宋_GB2312" w:hAnsi="仿宋_GB2312" w:eastAsia="仿宋_GB2312" w:cs="仿宋_GB2312"/>
          <w:b/>
          <w:sz w:val="28"/>
          <w:szCs w:val="28"/>
        </w:rPr>
        <w:t>记录</w:t>
      </w:r>
    </w:p>
    <w:p>
      <w:pPr>
        <w:spacing w:line="360" w:lineRule="auto"/>
        <w:ind w:left="840"/>
        <w:jc w:val="both"/>
        <w:rPr>
          <w:rFonts w:hint="eastAsia" w:ascii="仿宋_GB2312" w:hAnsi="仿宋_GB2312" w:eastAsia="仿宋_GB2312" w:cs="仿宋_GB2312"/>
          <w:bCs/>
          <w:sz w:val="28"/>
          <w:szCs w:val="28"/>
        </w:rPr>
      </w:pPr>
      <w:r>
        <w:rPr>
          <w:rFonts w:hint="eastAsia" w:ascii="仿宋_GB2312" w:hAnsi="仿宋_GB2312" w:eastAsia="仿宋_GB2312" w:cs="仿宋_GB2312"/>
          <w:bCs/>
          <w:sz w:val="28"/>
          <w:szCs w:val="28"/>
        </w:rPr>
        <w:t>考生正常提交的考试，历史记录信息。</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显示查询：主要是将搜索的界面调用出来，提供信息的检索，以便用户找信息更快速。</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删除：</w:t>
      </w:r>
      <w:r>
        <w:rPr>
          <w:rFonts w:hint="eastAsia" w:ascii="仿宋_GB2312" w:hAnsi="仿宋_GB2312" w:eastAsia="仿宋_GB2312" w:cs="仿宋_GB2312"/>
          <w:color w:val="000000"/>
          <w:sz w:val="28"/>
          <w:szCs w:val="28"/>
        </w:rPr>
        <w:t>将选中的该条数据删除，为保证数据完整性，正在使用中的信息无法删除</w:t>
      </w:r>
      <w:r>
        <w:rPr>
          <w:rFonts w:hint="eastAsia" w:ascii="仿宋_GB2312" w:hAnsi="仿宋_GB2312" w:eastAsia="仿宋_GB2312" w:cs="仿宋_GB2312"/>
          <w:color w:val="000000"/>
          <w:kern w:val="0"/>
          <w:sz w:val="28"/>
          <w:szCs w:val="28"/>
        </w:rPr>
        <w:t>。</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查看：查看历史考试的答题记录 。</w:t>
      </w:r>
    </w:p>
    <w:p>
      <w:pPr>
        <w:spacing w:line="360" w:lineRule="auto"/>
        <w:ind w:left="84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注：查看、删除是须后台管理员赋予权限。</w:t>
      </w:r>
    </w:p>
    <w:p>
      <w:pPr>
        <w:numPr>
          <w:ilvl w:val="0"/>
          <w:numId w:val="5"/>
        </w:numPr>
        <w:jc w:val="both"/>
        <w:rPr>
          <w:rFonts w:hint="eastAsia" w:ascii="仿宋_GB2312" w:hAnsi="仿宋_GB2312" w:eastAsia="仿宋_GB2312" w:cs="仿宋_GB2312"/>
          <w:b/>
          <w:bCs/>
          <w:sz w:val="28"/>
          <w:szCs w:val="28"/>
        </w:rPr>
      </w:pPr>
      <w:bookmarkStart w:id="143" w:name="_Toc22088"/>
      <w:r>
        <w:rPr>
          <w:rFonts w:hint="eastAsia" w:ascii="仿宋_GB2312" w:hAnsi="仿宋_GB2312" w:eastAsia="仿宋_GB2312" w:cs="仿宋_GB2312"/>
          <w:b/>
          <w:bCs/>
          <w:sz w:val="28"/>
          <w:szCs w:val="28"/>
        </w:rPr>
        <w:t>我的账户</w:t>
      </w:r>
      <w:bookmarkEnd w:id="143"/>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对自己的账户的资料和密码进行修改</w:t>
      </w:r>
      <w:bookmarkStart w:id="144" w:name="_Toc276735597"/>
      <w:r>
        <w:rPr>
          <w:rFonts w:hint="eastAsia" w:ascii="仿宋_GB2312" w:hAnsi="仿宋_GB2312" w:eastAsia="仿宋_GB2312" w:cs="仿宋_GB2312"/>
          <w:sz w:val="28"/>
          <w:szCs w:val="28"/>
        </w:rPr>
        <w:t>。</w:t>
      </w:r>
    </w:p>
    <w:p>
      <w:pPr>
        <w:numPr>
          <w:ilvl w:val="0"/>
          <w:numId w:val="14"/>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个人资料</w:t>
      </w:r>
      <w:bookmarkEnd w:id="144"/>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对自己的信息进行查看和修改，修改后进行保存。</w:t>
      </w:r>
      <w:bookmarkStart w:id="145" w:name="_Toc276735598"/>
    </w:p>
    <w:p>
      <w:pPr>
        <w:numPr>
          <w:ilvl w:val="0"/>
          <w:numId w:val="14"/>
        </w:numPr>
        <w:tabs>
          <w:tab w:val="left" w:pos="897"/>
        </w:tabs>
        <w:spacing w:line="360" w:lineRule="auto"/>
        <w:ind w:hanging="5"/>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密码修改</w:t>
      </w:r>
      <w:bookmarkEnd w:id="145"/>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用户对自己系统登录的密码进行修改。</w:t>
      </w:r>
    </w:p>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模块列表示意图如下（仅为示意，</w:t>
      </w:r>
      <w:r>
        <w:rPr>
          <w:rFonts w:hint="eastAsia" w:ascii="仿宋_GB2312" w:hAnsi="仿宋_GB2312" w:eastAsia="仿宋_GB2312" w:cs="仿宋_GB2312"/>
          <w:sz w:val="28"/>
          <w:szCs w:val="28"/>
          <w:lang w:val="en-US" w:eastAsia="zh-CN"/>
        </w:rPr>
        <w:t>响应商</w:t>
      </w:r>
      <w:r>
        <w:rPr>
          <w:rFonts w:hint="eastAsia" w:ascii="仿宋_GB2312" w:hAnsi="仿宋_GB2312" w:eastAsia="仿宋_GB2312" w:cs="仿宋_GB2312"/>
          <w:sz w:val="28"/>
          <w:szCs w:val="28"/>
        </w:rPr>
        <w:t>可在满足要求的情况下自行排列）：</w:t>
      </w:r>
    </w:p>
    <w:tbl>
      <w:tblPr>
        <w:tblStyle w:val="17"/>
        <w:tblW w:w="903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8"/>
        <w:gridCol w:w="2007"/>
        <w:gridCol w:w="1785"/>
        <w:gridCol w:w="1785"/>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Borders>
              <w:bottom w:val="single" w:color="auto" w:sz="4" w:space="0"/>
            </w:tcBorders>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系统模块</w:t>
            </w:r>
          </w:p>
        </w:tc>
        <w:tc>
          <w:tcPr>
            <w:tcW w:w="7362" w:type="dxa"/>
            <w:gridSpan w:val="4"/>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主要功能模块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68" w:type="dxa"/>
            <w:tcBorders>
              <w:bottom w:val="single" w:color="auto" w:sz="4" w:space="0"/>
            </w:tcBorders>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系统首页</w:t>
            </w:r>
          </w:p>
        </w:tc>
        <w:tc>
          <w:tcPr>
            <w:tcW w:w="7362" w:type="dxa"/>
            <w:gridSpan w:val="4"/>
            <w:shd w:val="clear" w:color="auto" w:fill="F2F2F2"/>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常用操作界面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0"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模块管理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角色管理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系统设置</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在线用户管理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版本升级说明</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组织结构管理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部门管理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岗位管理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用户管理</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考试设计</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知识体系管理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题型管理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题库管理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考试类别管理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试卷管理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6"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考试管理</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考试安排</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练习安排</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人工复评</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成绩管理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8"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准考证管理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0"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监控管理</w:t>
            </w:r>
          </w:p>
        </w:tc>
        <w:tc>
          <w:tcPr>
            <w:tcW w:w="7362" w:type="dxa"/>
            <w:gridSpan w:val="4"/>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考试监控，……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5" w:hRule="atLeast"/>
          <w:jc w:val="center"/>
        </w:trPr>
        <w:tc>
          <w:tcPr>
            <w:tcW w:w="1668" w:type="dxa"/>
            <w:vMerge w:val="restart"/>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互动交流</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新闻信息管理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新闻信息</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公告信息管理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公告信息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668" w:type="dxa"/>
            <w:vMerge w:val="continue"/>
            <w:shd w:val="clear" w:color="auto" w:fill="F2F2F2"/>
            <w:vAlign w:val="center"/>
          </w:tcPr>
          <w:p>
            <w:pPr>
              <w:spacing w:line="360" w:lineRule="auto"/>
              <w:jc w:val="both"/>
              <w:rPr>
                <w:rFonts w:hint="eastAsia" w:ascii="仿宋_GB2312" w:hAnsi="仿宋_GB2312" w:eastAsia="仿宋_GB2312" w:cs="仿宋_GB2312"/>
                <w:sz w:val="28"/>
                <w:szCs w:val="28"/>
              </w:rPr>
            </w:pP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投票内容管理</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color w:val="000000"/>
                <w:kern w:val="0"/>
                <w:sz w:val="28"/>
                <w:szCs w:val="28"/>
              </w:rPr>
              <w:t>在线投票</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统计分析</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考试资源统计</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考试成绩统计</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我的考试</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我的考试</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断电续考</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我的成绩</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我的错题，……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我的练习</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我的练习</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练习记录</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 w:hRule="atLeast"/>
          <w:jc w:val="center"/>
        </w:trPr>
        <w:tc>
          <w:tcPr>
            <w:tcW w:w="1668" w:type="dxa"/>
            <w:shd w:val="clear" w:color="auto" w:fill="F2F2F2"/>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我的账户</w:t>
            </w:r>
          </w:p>
        </w:tc>
        <w:tc>
          <w:tcPr>
            <w:tcW w:w="2007"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个人资料</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密码修改</w:t>
            </w:r>
          </w:p>
        </w:tc>
        <w:tc>
          <w:tcPr>
            <w:tcW w:w="1785" w:type="dxa"/>
            <w:vAlign w:val="center"/>
          </w:tcPr>
          <w:p>
            <w:p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785" w:type="dxa"/>
            <w:vAlign w:val="center"/>
          </w:tcPr>
          <w:p>
            <w:pPr>
              <w:spacing w:line="360" w:lineRule="auto"/>
              <w:jc w:val="both"/>
              <w:rPr>
                <w:rFonts w:hint="eastAsia" w:ascii="仿宋_GB2312" w:hAnsi="仿宋_GB2312" w:eastAsia="仿宋_GB2312" w:cs="仿宋_GB2312"/>
                <w:sz w:val="28"/>
                <w:szCs w:val="28"/>
              </w:rPr>
            </w:pPr>
          </w:p>
        </w:tc>
      </w:tr>
    </w:tbl>
    <w:p>
      <w:pPr>
        <w:spacing w:line="360" w:lineRule="auto"/>
        <w:jc w:val="both"/>
        <w:rPr>
          <w:rFonts w:hint="eastAsia" w:ascii="仿宋_GB2312" w:hAnsi="仿宋_GB2312" w:eastAsia="仿宋_GB2312" w:cs="仿宋_GB2312"/>
          <w:sz w:val="28"/>
          <w:szCs w:val="28"/>
        </w:rPr>
      </w:pPr>
    </w:p>
    <w:p>
      <w:pPr>
        <w:spacing w:line="360" w:lineRule="auto"/>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p>
    <w:p>
      <w:pPr>
        <w:pStyle w:val="2"/>
        <w:jc w:val="center"/>
        <w:rPr>
          <w:rFonts w:hint="eastAsia" w:cs="宋体" w:asciiTheme="minorEastAsia" w:hAnsiTheme="minorEastAsia" w:eastAsiaTheme="minorEastAsia"/>
          <w:sz w:val="36"/>
          <w:szCs w:val="36"/>
        </w:rPr>
      </w:pPr>
    </w:p>
    <w:bookmarkEnd w:id="20"/>
    <w:bookmarkEnd w:id="21"/>
    <w:bookmarkEnd w:id="22"/>
    <w:bookmarkEnd w:id="23"/>
    <w:bookmarkEnd w:id="24"/>
    <w:bookmarkEnd w:id="64"/>
    <w:p>
      <w:pPr>
        <w:pStyle w:val="2"/>
        <w:jc w:val="center"/>
        <w:rPr>
          <w:rFonts w:hint="eastAsia" w:cs="宋体" w:asciiTheme="minorEastAsia" w:hAnsiTheme="minorEastAsia" w:eastAsiaTheme="minorEastAsia"/>
          <w:sz w:val="36"/>
          <w:szCs w:val="36"/>
        </w:rPr>
      </w:pPr>
      <w:bookmarkStart w:id="146" w:name="_Toc403987220"/>
      <w:bookmarkStart w:id="147" w:name="_Toc8848"/>
      <w:r>
        <w:rPr>
          <w:rFonts w:hint="eastAsia" w:cs="宋体" w:asciiTheme="minorEastAsia" w:hAnsiTheme="minorEastAsia" w:eastAsiaTheme="minorEastAsia"/>
          <w:sz w:val="36"/>
          <w:szCs w:val="36"/>
        </w:rPr>
        <w:t>第六章  响应文件格式</w:t>
      </w:r>
      <w:bookmarkEnd w:id="146"/>
      <w:bookmarkEnd w:id="147"/>
    </w:p>
    <w:p>
      <w:pPr>
        <w:pStyle w:val="2"/>
        <w:jc w:val="center"/>
        <w:rPr>
          <w:rFonts w:hint="eastAsia" w:cs="宋体" w:asciiTheme="minorEastAsia" w:hAnsiTheme="minorEastAsia" w:eastAsiaTheme="minorEastAsia"/>
          <w:sz w:val="36"/>
          <w:szCs w:val="36"/>
        </w:rPr>
      </w:pPr>
      <w:bookmarkStart w:id="148" w:name="_Hlt26955039"/>
      <w:bookmarkEnd w:id="148"/>
      <w:bookmarkStart w:id="149" w:name="_Hlt26671244"/>
      <w:bookmarkEnd w:id="149"/>
      <w:bookmarkStart w:id="150" w:name="_Toc26554094"/>
      <w:bookmarkStart w:id="151" w:name="_Toc49090576"/>
      <w:bookmarkStart w:id="152" w:name="_Toc120614282"/>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响 应 文 件</w:t>
      </w: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名 称：</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项 目 编 号：</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lang w:eastAsia="zh-CN"/>
        </w:rPr>
        <w:t>响应商</w:t>
      </w:r>
      <w:r>
        <w:rPr>
          <w:rFonts w:hint="eastAsia" w:cs="宋体" w:asciiTheme="minorEastAsia" w:hAnsiTheme="minorEastAsia" w:eastAsiaTheme="minorEastAsia"/>
          <w:sz w:val="36"/>
          <w:szCs w:val="36"/>
        </w:rPr>
        <w:t>名称 ：</w:t>
      </w:r>
    </w:p>
    <w:p>
      <w:pPr>
        <w:pStyle w:val="2"/>
        <w:jc w:val="center"/>
        <w:rPr>
          <w:rFonts w:hint="eastAsia" w:cs="宋体" w:asciiTheme="minorEastAsia" w:hAnsiTheme="minorEastAsia" w:eastAsiaTheme="minorEastAsia"/>
          <w:sz w:val="36"/>
          <w:szCs w:val="36"/>
        </w:rPr>
      </w:pPr>
      <w:r>
        <w:rPr>
          <w:rFonts w:hint="eastAsia" w:cs="宋体" w:asciiTheme="minorEastAsia" w:hAnsiTheme="minorEastAsia" w:eastAsiaTheme="minorEastAsia"/>
          <w:sz w:val="36"/>
          <w:szCs w:val="36"/>
        </w:rPr>
        <w:t>日      期 ：</w:t>
      </w:r>
    </w:p>
    <w:bookmarkEnd w:id="25"/>
    <w:bookmarkEnd w:id="26"/>
    <w:bookmarkEnd w:id="150"/>
    <w:bookmarkEnd w:id="151"/>
    <w:bookmarkEnd w:id="152"/>
    <w:p>
      <w:pPr>
        <w:pStyle w:val="2"/>
        <w:jc w:val="center"/>
        <w:rPr>
          <w:rStyle w:val="22"/>
          <w:rFonts w:hint="eastAsia" w:ascii="仿宋_GB2312" w:hAnsi="仿宋_GB2312" w:eastAsia="仿宋_GB2312" w:cs="仿宋_GB2312"/>
          <w:b/>
          <w:bCs/>
          <w:color w:val="auto"/>
          <w:sz w:val="28"/>
          <w:szCs w:val="28"/>
        </w:rPr>
      </w:pPr>
      <w:r>
        <w:rPr>
          <w:rFonts w:hint="eastAsia" w:cs="宋体" w:asciiTheme="minorEastAsia" w:hAnsiTheme="minorEastAsia" w:eastAsiaTheme="minorEastAsia"/>
          <w:sz w:val="36"/>
          <w:szCs w:val="36"/>
        </w:rPr>
        <w:br w:type="page"/>
      </w:r>
      <w:r>
        <w:rPr>
          <w:rStyle w:val="22"/>
          <w:rFonts w:hint="eastAsia" w:ascii="仿宋_GB2312" w:hAnsi="仿宋_GB2312" w:eastAsia="仿宋_GB2312" w:cs="仿宋_GB2312"/>
          <w:b/>
          <w:bCs/>
          <w:color w:val="auto"/>
          <w:sz w:val="28"/>
          <w:szCs w:val="28"/>
        </w:rPr>
        <w:t>资格性和符合性检查响应对照表</w:t>
      </w:r>
    </w:p>
    <w:p>
      <w:pPr>
        <w:ind w:firstLine="309"/>
        <w:jc w:val="both"/>
        <w:rPr>
          <w:rFonts w:hint="eastAsia" w:ascii="仿宋_GB2312" w:hAnsi="仿宋_GB2312" w:eastAsia="仿宋_GB2312" w:cs="仿宋_GB2312"/>
          <w:sz w:val="28"/>
          <w:szCs w:val="28"/>
        </w:rPr>
      </w:pPr>
    </w:p>
    <w:tbl>
      <w:tblPr>
        <w:tblStyle w:val="17"/>
        <w:tblW w:w="9356"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5386"/>
        <w:gridCol w:w="1701"/>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序号</w:t>
            </w:r>
          </w:p>
        </w:tc>
        <w:tc>
          <w:tcPr>
            <w:tcW w:w="5386"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资格和符合性检查响应内容</w:t>
            </w:r>
          </w:p>
        </w:tc>
        <w:tc>
          <w:tcPr>
            <w:tcW w:w="1701"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是否响应</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（填是或者否）</w:t>
            </w:r>
          </w:p>
        </w:tc>
        <w:tc>
          <w:tcPr>
            <w:tcW w:w="1559" w:type="dxa"/>
            <w:vAlign w:val="center"/>
          </w:tcPr>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响应文件中的</w:t>
            </w:r>
          </w:p>
          <w:p>
            <w:pPr>
              <w:snapToGrid w:val="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1</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营业执照（复印件，加盖公章）</w:t>
            </w:r>
          </w:p>
        </w:tc>
        <w:tc>
          <w:tcPr>
            <w:tcW w:w="1701" w:type="dxa"/>
            <w:vAlign w:val="center"/>
          </w:tcPr>
          <w:p>
            <w:pPr>
              <w:jc w:val="both"/>
              <w:rPr>
                <w:rFonts w:hint="eastAsia" w:ascii="仿宋_GB2312" w:hAnsi="仿宋_GB2312" w:eastAsia="仿宋_GB2312" w:cs="仿宋_GB2312"/>
                <w:b/>
                <w:sz w:val="28"/>
                <w:szCs w:val="28"/>
              </w:rPr>
            </w:pPr>
          </w:p>
        </w:tc>
        <w:tc>
          <w:tcPr>
            <w:tcW w:w="1559" w:type="dxa"/>
            <w:vAlign w:val="center"/>
          </w:tcPr>
          <w:p>
            <w:pPr>
              <w:jc w:val="both"/>
              <w:rPr>
                <w:rFonts w:hint="eastAsia" w:ascii="仿宋_GB2312" w:hAnsi="仿宋_GB2312" w:eastAsia="仿宋_GB2312"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2</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法人授权书（原件，非法定代表人参与磋商时必须提供）</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3</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财务状况报告（复印件加盖公章）</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4</w:t>
            </w:r>
          </w:p>
        </w:tc>
        <w:tc>
          <w:tcPr>
            <w:tcW w:w="5386"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履行合同所必需的设备和专业技术能力（请提供证明材料）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5</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依法缴纳税收和社会保障资金的良好记录（请提供依法缴纳税收和社会保障资金的相关材料）；</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6</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参加政府采购活动前3年内在经营活动中没有重大违法记录的书面声明</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10" w:type="dxa"/>
            <w:vAlign w:val="center"/>
          </w:tcPr>
          <w:p>
            <w:pPr>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7</w:t>
            </w:r>
          </w:p>
        </w:tc>
        <w:tc>
          <w:tcPr>
            <w:tcW w:w="5386" w:type="dxa"/>
            <w:vAlign w:val="center"/>
          </w:tcPr>
          <w:p>
            <w:pPr>
              <w:autoSpaceDE w:val="0"/>
              <w:autoSpaceDN w:val="0"/>
              <w:jc w:val="both"/>
              <w:rPr>
                <w:rFonts w:hint="eastAsia" w:ascii="仿宋_GB2312" w:hAnsi="仿宋_GB2312" w:eastAsia="仿宋_GB2312" w:cs="仿宋_GB2312"/>
                <w:iCs/>
                <w:sz w:val="28"/>
                <w:szCs w:val="28"/>
              </w:rPr>
            </w:pPr>
            <w:r>
              <w:rPr>
                <w:rFonts w:hint="eastAsia" w:ascii="仿宋_GB2312" w:hAnsi="仿宋_GB2312" w:eastAsia="仿宋_GB2312" w:cs="仿宋_GB2312"/>
                <w:iCs/>
                <w:sz w:val="28"/>
                <w:szCs w:val="28"/>
              </w:rPr>
              <w:t>竞争性磋商文件中的其他实质性要求</w:t>
            </w:r>
          </w:p>
        </w:tc>
        <w:tc>
          <w:tcPr>
            <w:tcW w:w="1701" w:type="dxa"/>
            <w:vAlign w:val="center"/>
          </w:tcPr>
          <w:p>
            <w:pPr>
              <w:jc w:val="both"/>
              <w:rPr>
                <w:rFonts w:hint="eastAsia" w:ascii="仿宋_GB2312" w:hAnsi="仿宋_GB2312" w:eastAsia="仿宋_GB2312" w:cs="仿宋_GB2312"/>
                <w:sz w:val="28"/>
                <w:szCs w:val="28"/>
              </w:rPr>
            </w:pPr>
          </w:p>
        </w:tc>
        <w:tc>
          <w:tcPr>
            <w:tcW w:w="1559" w:type="dxa"/>
            <w:vAlign w:val="center"/>
          </w:tcPr>
          <w:p>
            <w:pPr>
              <w:jc w:val="both"/>
              <w:rPr>
                <w:rFonts w:hint="eastAsia" w:ascii="仿宋_GB2312" w:hAnsi="仿宋_GB2312" w:eastAsia="仿宋_GB2312" w:cs="仿宋_GB2312"/>
                <w:sz w:val="28"/>
                <w:szCs w:val="28"/>
              </w:rPr>
            </w:pPr>
          </w:p>
        </w:tc>
      </w:tr>
    </w:tbl>
    <w:p>
      <w:pPr>
        <w:jc w:val="both"/>
        <w:rPr>
          <w:rFonts w:hint="eastAsia" w:ascii="仿宋_GB2312" w:hAnsi="仿宋_GB2312" w:eastAsia="仿宋_GB2312" w:cs="仿宋_GB2312"/>
          <w:b/>
          <w:sz w:val="28"/>
          <w:szCs w:val="28"/>
        </w:rPr>
      </w:pPr>
    </w:p>
    <w:p>
      <w:pPr>
        <w:ind w:firstLine="309"/>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全称（加盖公章）：</w:t>
      </w:r>
    </w:p>
    <w:p>
      <w:pPr>
        <w:widowControl/>
        <w:adjustRightInd/>
        <w:spacing w:line="240" w:lineRule="auto"/>
        <w:jc w:val="both"/>
        <w:textAlignment w:val="auto"/>
        <w:rPr>
          <w:rFonts w:hint="eastAsia" w:ascii="仿宋_GB2312" w:hAnsi="仿宋_GB2312" w:eastAsia="仿宋_GB2312" w:cs="仿宋_GB2312"/>
          <w:b/>
          <w:sz w:val="28"/>
          <w:szCs w:val="28"/>
        </w:rPr>
      </w:pPr>
    </w:p>
    <w:p>
      <w:pPr>
        <w:widowControl/>
        <w:adjustRightInd/>
        <w:spacing w:line="240" w:lineRule="auto"/>
        <w:jc w:val="both"/>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br w:type="page"/>
      </w:r>
    </w:p>
    <w:p>
      <w:pPr>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评分索引表</w:t>
      </w:r>
    </w:p>
    <w:tbl>
      <w:tblPr>
        <w:tblStyle w:val="17"/>
        <w:tblW w:w="1042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260"/>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bCs/>
                <w:sz w:val="30"/>
                <w:szCs w:val="30"/>
              </w:rPr>
            </w:pPr>
            <w:r>
              <w:rPr>
                <w:rFonts w:hint="eastAsia" w:ascii="宋体" w:hAnsi="宋体" w:eastAsia="宋体" w:cs="宋体"/>
                <w:bCs/>
                <w:sz w:val="30"/>
                <w:szCs w:val="30"/>
              </w:rPr>
              <w:t>评分因素</w:t>
            </w:r>
          </w:p>
        </w:tc>
        <w:tc>
          <w:tcPr>
            <w:tcW w:w="7260" w:type="dxa"/>
            <w:vAlign w:val="center"/>
          </w:tcPr>
          <w:p>
            <w:pPr>
              <w:jc w:val="center"/>
              <w:rPr>
                <w:rFonts w:ascii="宋体" w:hAnsi="宋体" w:eastAsia="宋体" w:cs="宋体"/>
                <w:bCs/>
                <w:sz w:val="30"/>
                <w:szCs w:val="30"/>
              </w:rPr>
            </w:pPr>
            <w:r>
              <w:rPr>
                <w:rFonts w:hint="eastAsia" w:hAnsi="宋体" w:eastAsia="宋体" w:cs="宋体"/>
                <w:bCs/>
                <w:sz w:val="30"/>
                <w:szCs w:val="30"/>
                <w:lang w:val="en-US" w:eastAsia="zh-CN"/>
              </w:rPr>
              <w:t>磋商</w:t>
            </w:r>
            <w:r>
              <w:rPr>
                <w:rFonts w:hint="eastAsia" w:ascii="宋体" w:hAnsi="宋体" w:eastAsia="宋体" w:cs="宋体"/>
                <w:bCs/>
                <w:sz w:val="30"/>
                <w:szCs w:val="30"/>
              </w:rPr>
              <w:t>细则</w:t>
            </w:r>
          </w:p>
        </w:tc>
        <w:tc>
          <w:tcPr>
            <w:tcW w:w="1500" w:type="dxa"/>
            <w:vAlign w:val="center"/>
          </w:tcPr>
          <w:p>
            <w:pPr>
              <w:jc w:val="center"/>
              <w:rPr>
                <w:rFonts w:ascii="宋体" w:hAnsi="宋体" w:eastAsia="宋体" w:cs="宋体"/>
                <w:bCs/>
                <w:sz w:val="30"/>
                <w:szCs w:val="30"/>
              </w:rPr>
            </w:pPr>
            <w:r>
              <w:rPr>
                <w:rFonts w:hint="eastAsia" w:hAnsi="宋体" w:eastAsia="宋体" w:cs="宋体"/>
                <w:bCs/>
                <w:sz w:val="30"/>
                <w:szCs w:val="30"/>
                <w:lang w:val="en-US" w:eastAsia="zh-CN"/>
              </w:rPr>
              <w:t>响应</w:t>
            </w:r>
            <w:r>
              <w:rPr>
                <w:rFonts w:hint="eastAsia" w:ascii="宋体" w:hAnsi="宋体" w:eastAsia="宋体" w:cs="宋体"/>
                <w:bCs/>
                <w:sz w:val="30"/>
                <w:szCs w:val="30"/>
              </w:rPr>
              <w:t>文件对应页码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bCs/>
                <w:sz w:val="30"/>
                <w:szCs w:val="30"/>
              </w:rPr>
            </w:pPr>
            <w:r>
              <w:rPr>
                <w:rFonts w:hint="eastAsia" w:ascii="宋体" w:hAnsi="宋体" w:eastAsia="宋体" w:cs="宋体"/>
                <w:bCs/>
                <w:sz w:val="30"/>
                <w:szCs w:val="30"/>
              </w:rPr>
              <w:t>价格（50分）</w:t>
            </w:r>
          </w:p>
        </w:tc>
        <w:tc>
          <w:tcPr>
            <w:tcW w:w="7260" w:type="dxa"/>
            <w:vAlign w:val="center"/>
          </w:tcPr>
          <w:p>
            <w:pPr>
              <w:ind w:firstLine="600" w:firstLineChars="200"/>
              <w:jc w:val="left"/>
              <w:rPr>
                <w:rFonts w:ascii="宋体" w:hAnsi="宋体" w:eastAsia="宋体" w:cs="宋体"/>
                <w:bCs/>
                <w:sz w:val="30"/>
                <w:szCs w:val="30"/>
              </w:rPr>
            </w:pPr>
            <w:r>
              <w:rPr>
                <w:rFonts w:hint="eastAsia" w:ascii="宋体" w:hAnsi="宋体" w:eastAsia="宋体" w:cs="宋体"/>
                <w:sz w:val="30"/>
                <w:szCs w:val="30"/>
              </w:rPr>
              <w:t>满足</w:t>
            </w:r>
            <w:r>
              <w:rPr>
                <w:rFonts w:hint="eastAsia" w:hAnsi="宋体" w:eastAsia="宋体" w:cs="宋体"/>
                <w:sz w:val="30"/>
                <w:szCs w:val="30"/>
                <w:lang w:val="en-US" w:eastAsia="zh-CN"/>
              </w:rPr>
              <w:t>磋商</w:t>
            </w:r>
            <w:r>
              <w:rPr>
                <w:rFonts w:hint="eastAsia" w:ascii="宋体" w:hAnsi="宋体" w:eastAsia="宋体" w:cs="宋体"/>
                <w:sz w:val="30"/>
                <w:szCs w:val="30"/>
              </w:rPr>
              <w:t>文件要求且</w:t>
            </w:r>
            <w:r>
              <w:rPr>
                <w:rFonts w:hint="eastAsia" w:hAnsi="宋体" w:eastAsia="宋体" w:cs="宋体"/>
                <w:sz w:val="30"/>
                <w:szCs w:val="30"/>
                <w:lang w:val="en-US" w:eastAsia="zh-CN"/>
              </w:rPr>
              <w:t>报价</w:t>
            </w:r>
            <w:r>
              <w:rPr>
                <w:rFonts w:hint="eastAsia" w:ascii="宋体" w:hAnsi="宋体" w:eastAsia="宋体" w:cs="宋体"/>
                <w:sz w:val="30"/>
                <w:szCs w:val="30"/>
              </w:rPr>
              <w:t>价格最低的报价为</w:t>
            </w:r>
            <w:r>
              <w:rPr>
                <w:rFonts w:hint="eastAsia" w:hAnsi="宋体" w:eastAsia="宋体" w:cs="宋体"/>
                <w:sz w:val="30"/>
                <w:szCs w:val="30"/>
                <w:lang w:val="en-US" w:eastAsia="zh-CN"/>
              </w:rPr>
              <w:t>磋商</w:t>
            </w:r>
            <w:r>
              <w:rPr>
                <w:rFonts w:hint="eastAsia" w:ascii="宋体" w:hAnsi="宋体" w:eastAsia="宋体" w:cs="宋体"/>
                <w:sz w:val="30"/>
                <w:szCs w:val="30"/>
              </w:rPr>
              <w:t>基准价，其基准价格分为50分。其他</w:t>
            </w:r>
            <w:r>
              <w:rPr>
                <w:rFonts w:hint="eastAsia" w:hAnsi="宋体" w:eastAsia="宋体" w:cs="宋体"/>
                <w:sz w:val="30"/>
                <w:szCs w:val="30"/>
                <w:lang w:val="en-US" w:eastAsia="zh-CN"/>
              </w:rPr>
              <w:t>响应商</w:t>
            </w:r>
            <w:r>
              <w:rPr>
                <w:rFonts w:hint="eastAsia" w:ascii="宋体" w:hAnsi="宋体" w:eastAsia="宋体" w:cs="宋体"/>
                <w:sz w:val="30"/>
                <w:szCs w:val="30"/>
              </w:rPr>
              <w:t>的价格得分=（</w:t>
            </w:r>
            <w:r>
              <w:rPr>
                <w:rFonts w:hint="eastAsia" w:hAnsi="宋体" w:eastAsia="宋体" w:cs="宋体"/>
                <w:sz w:val="30"/>
                <w:szCs w:val="30"/>
                <w:lang w:val="en-US" w:eastAsia="zh-CN"/>
              </w:rPr>
              <w:t>磋商</w:t>
            </w:r>
            <w:r>
              <w:rPr>
                <w:rFonts w:hint="eastAsia" w:ascii="宋体" w:hAnsi="宋体" w:eastAsia="宋体" w:cs="宋体"/>
                <w:sz w:val="30"/>
                <w:szCs w:val="30"/>
              </w:rPr>
              <w:t>基准价/ 其他</w:t>
            </w:r>
            <w:r>
              <w:rPr>
                <w:rFonts w:hint="eastAsia" w:hAnsi="宋体" w:eastAsia="宋体" w:cs="宋体"/>
                <w:sz w:val="30"/>
                <w:szCs w:val="30"/>
                <w:lang w:val="en-US" w:eastAsia="zh-CN"/>
              </w:rPr>
              <w:t>响应商</w:t>
            </w:r>
            <w:r>
              <w:rPr>
                <w:rFonts w:hint="eastAsia" w:ascii="宋体" w:hAnsi="宋体" w:eastAsia="宋体" w:cs="宋体"/>
                <w:sz w:val="30"/>
                <w:szCs w:val="30"/>
              </w:rPr>
              <w:t>报价）×50分（精确到小数点后两位）。</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adjustRightInd w:val="0"/>
              <w:snapToGrid w:val="0"/>
              <w:jc w:val="left"/>
              <w:rPr>
                <w:rFonts w:ascii="宋体" w:hAnsi="宋体" w:eastAsia="宋体" w:cs="宋体"/>
                <w:bCs/>
                <w:sz w:val="30"/>
                <w:szCs w:val="30"/>
              </w:rPr>
            </w:pPr>
            <w:r>
              <w:rPr>
                <w:rFonts w:hint="eastAsia" w:ascii="宋体" w:hAnsi="宋体" w:eastAsia="宋体" w:cs="宋体"/>
                <w:kern w:val="0"/>
                <w:sz w:val="30"/>
                <w:szCs w:val="30"/>
              </w:rPr>
              <w:t>技术响应情况（20分）</w:t>
            </w:r>
          </w:p>
        </w:tc>
        <w:tc>
          <w:tcPr>
            <w:tcW w:w="7260" w:type="dxa"/>
          </w:tcPr>
          <w:p>
            <w:pPr>
              <w:adjustRightInd w:val="0"/>
              <w:snapToGrid w:val="0"/>
              <w:ind w:firstLine="600" w:firstLineChars="200"/>
              <w:jc w:val="left"/>
              <w:rPr>
                <w:rFonts w:ascii="宋体" w:hAnsi="宋体" w:eastAsia="宋体" w:cs="宋体"/>
                <w:sz w:val="30"/>
                <w:szCs w:val="30"/>
              </w:rPr>
            </w:pPr>
            <w:r>
              <w:rPr>
                <w:rFonts w:hint="eastAsia" w:ascii="宋体" w:hAnsi="宋体" w:eastAsia="宋体" w:cs="宋体"/>
                <w:kern w:val="0"/>
                <w:sz w:val="30"/>
                <w:szCs w:val="30"/>
              </w:rPr>
              <w:t>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商对技术要求的响应情况进行综合打分，完全响应得15-20分，部分响应得8-14分，</w:t>
            </w:r>
            <w:r>
              <w:rPr>
                <w:rFonts w:hint="eastAsia" w:ascii="宋体" w:hAnsi="宋体" w:eastAsia="宋体" w:cs="宋体"/>
                <w:sz w:val="30"/>
                <w:szCs w:val="30"/>
              </w:rPr>
              <w:t>基本响应得1-7分。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kern w:val="0"/>
                <w:sz w:val="30"/>
                <w:szCs w:val="30"/>
              </w:rPr>
            </w:pPr>
            <w:r>
              <w:rPr>
                <w:rFonts w:hint="eastAsia" w:ascii="宋体" w:hAnsi="宋体" w:eastAsia="宋体" w:cs="宋体"/>
                <w:kern w:val="0"/>
                <w:sz w:val="30"/>
                <w:szCs w:val="30"/>
              </w:rPr>
              <w:t>供货保障措施</w:t>
            </w:r>
            <w:r>
              <w:rPr>
                <w:rFonts w:hint="eastAsia" w:ascii="宋体" w:hAnsi="宋体" w:eastAsia="宋体" w:cs="宋体"/>
                <w:sz w:val="30"/>
                <w:szCs w:val="30"/>
              </w:rPr>
              <w:t>（4分）</w:t>
            </w:r>
          </w:p>
        </w:tc>
        <w:tc>
          <w:tcPr>
            <w:tcW w:w="7260" w:type="dxa"/>
            <w:vAlign w:val="center"/>
          </w:tcPr>
          <w:p>
            <w:pPr>
              <w:ind w:firstLine="600" w:firstLineChars="200"/>
              <w:jc w:val="left"/>
              <w:rPr>
                <w:rFonts w:ascii="宋体" w:hAnsi="宋体" w:eastAsia="宋体" w:cs="宋体"/>
                <w:kern w:val="0"/>
                <w:sz w:val="30"/>
                <w:szCs w:val="30"/>
              </w:rPr>
            </w:pP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商提供详细、完整的保证按时供货安装的措施及实施方案</w:t>
            </w:r>
            <w:r>
              <w:rPr>
                <w:rFonts w:hint="eastAsia" w:ascii="宋体" w:hAnsi="宋体" w:eastAsia="宋体" w:cs="宋体"/>
                <w:sz w:val="30"/>
                <w:szCs w:val="30"/>
              </w:rPr>
              <w:t>得4分，较详细、较完整得2-3分，基本详细、基本完整得1分，差或无得0分。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restart"/>
            <w:vAlign w:val="center"/>
          </w:tcPr>
          <w:p>
            <w:pPr>
              <w:adjustRightInd w:val="0"/>
              <w:snapToGrid w:val="0"/>
              <w:jc w:val="center"/>
              <w:rPr>
                <w:rFonts w:ascii="宋体" w:hAnsi="宋体" w:eastAsia="宋体" w:cs="宋体"/>
                <w:kern w:val="0"/>
                <w:sz w:val="30"/>
                <w:szCs w:val="30"/>
              </w:rPr>
            </w:pPr>
            <w:r>
              <w:rPr>
                <w:rFonts w:hint="eastAsia" w:ascii="宋体" w:hAnsi="宋体" w:eastAsia="宋体" w:cs="宋体"/>
                <w:kern w:val="0"/>
                <w:sz w:val="30"/>
                <w:szCs w:val="30"/>
              </w:rPr>
              <w:t>实力及信誉</w:t>
            </w:r>
            <w:r>
              <w:rPr>
                <w:rFonts w:hint="eastAsia" w:ascii="宋体" w:hAnsi="宋体" w:eastAsia="宋体" w:cs="宋体"/>
                <w:bCs/>
                <w:kern w:val="0"/>
                <w:sz w:val="30"/>
                <w:szCs w:val="30"/>
              </w:rPr>
              <w:t>（14分）</w:t>
            </w:r>
          </w:p>
        </w:tc>
        <w:tc>
          <w:tcPr>
            <w:tcW w:w="7260" w:type="dxa"/>
          </w:tcPr>
          <w:p>
            <w:pPr>
              <w:adjustRightInd w:val="0"/>
              <w:snapToGrid w:val="0"/>
              <w:ind w:firstLine="600" w:firstLineChars="200"/>
              <w:jc w:val="left"/>
              <w:rPr>
                <w:rFonts w:ascii="宋体" w:hAnsi="宋体" w:eastAsia="宋体" w:cs="宋体"/>
                <w:snapToGrid w:val="0"/>
                <w:sz w:val="30"/>
                <w:szCs w:val="30"/>
              </w:rPr>
            </w:pP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w:t>
            </w:r>
            <w:r>
              <w:rPr>
                <w:rFonts w:hint="eastAsia" w:ascii="宋体" w:hAnsi="宋体" w:eastAsia="宋体" w:cs="宋体"/>
                <w:sz w:val="30"/>
                <w:szCs w:val="30"/>
              </w:rPr>
              <w:t>具有电子与智能化二级及以上证书、具有</w:t>
            </w:r>
            <w:r>
              <w:rPr>
                <w:rStyle w:val="15"/>
                <w:rFonts w:hint="eastAsia" w:ascii="宋体" w:hAnsi="宋体" w:eastAsia="宋体" w:cs="宋体"/>
                <w:i w:val="0"/>
                <w:sz w:val="30"/>
                <w:szCs w:val="30"/>
                <w:shd w:val="clear" w:color="auto" w:fill="FFFFFF"/>
              </w:rPr>
              <w:t>ISO9001质量管理体系认证证书</w:t>
            </w:r>
            <w:r>
              <w:rPr>
                <w:rFonts w:hint="eastAsia" w:ascii="宋体" w:hAnsi="宋体" w:eastAsia="宋体" w:cs="宋体"/>
                <w:sz w:val="30"/>
                <w:szCs w:val="30"/>
                <w:shd w:val="clear" w:color="auto" w:fill="FFFFFF"/>
              </w:rPr>
              <w:t>、安全生产许可证，</w:t>
            </w:r>
            <w:r>
              <w:rPr>
                <w:rFonts w:hint="eastAsia" w:ascii="宋体" w:hAnsi="宋体" w:eastAsia="宋体" w:cs="宋体"/>
                <w:sz w:val="30"/>
                <w:szCs w:val="30"/>
              </w:rPr>
              <w:t>每个得2分，最高得6分。</w:t>
            </w:r>
            <w:r>
              <w:rPr>
                <w:rFonts w:hint="eastAsia" w:ascii="宋体" w:hAnsi="宋体" w:eastAsia="宋体" w:cs="宋体"/>
                <w:snapToGrid w:val="0"/>
                <w:sz w:val="30"/>
                <w:szCs w:val="30"/>
              </w:rPr>
              <w:t>（复印件装订于</w:t>
            </w: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文件中）</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djustRightInd w:val="0"/>
              <w:snapToGrid w:val="0"/>
              <w:jc w:val="center"/>
              <w:rPr>
                <w:rFonts w:ascii="宋体" w:hAnsi="宋体" w:eastAsia="宋体" w:cs="宋体"/>
                <w:kern w:val="0"/>
                <w:sz w:val="30"/>
                <w:szCs w:val="30"/>
              </w:rPr>
            </w:pPr>
          </w:p>
        </w:tc>
        <w:tc>
          <w:tcPr>
            <w:tcW w:w="7260" w:type="dxa"/>
          </w:tcPr>
          <w:p>
            <w:pPr>
              <w:adjustRightInd w:val="0"/>
              <w:snapToGrid w:val="0"/>
              <w:ind w:firstLine="600" w:firstLineChars="200"/>
              <w:jc w:val="left"/>
              <w:rPr>
                <w:rFonts w:ascii="宋体" w:hAnsi="宋体" w:eastAsia="宋体" w:cs="宋体"/>
                <w:kern w:val="0"/>
                <w:sz w:val="30"/>
                <w:szCs w:val="30"/>
              </w:rPr>
            </w:pPr>
            <w:r>
              <w:rPr>
                <w:rFonts w:hint="eastAsia" w:ascii="宋体" w:hAnsi="宋体" w:eastAsia="宋体" w:cs="宋体"/>
                <w:sz w:val="30"/>
                <w:szCs w:val="30"/>
              </w:rPr>
              <w:t>2015年1月1日（以合同签订时间为准）以来，</w:t>
            </w:r>
            <w:r>
              <w:rPr>
                <w:rFonts w:hint="eastAsia" w:hAnsi="宋体" w:eastAsia="宋体" w:cs="宋体"/>
                <w:sz w:val="30"/>
                <w:szCs w:val="30"/>
                <w:lang w:eastAsia="zh-CN"/>
              </w:rPr>
              <w:t>响应商</w:t>
            </w:r>
            <w:r>
              <w:rPr>
                <w:rFonts w:hint="eastAsia" w:ascii="宋体" w:hAnsi="宋体" w:eastAsia="宋体" w:cs="宋体"/>
                <w:sz w:val="30"/>
                <w:szCs w:val="30"/>
              </w:rPr>
              <w:t>所投品牌厂家完成过单笔合同金额＞10万元的同类业绩，每份合同得2分，满分6分（合同复印件装订于</w:t>
            </w:r>
            <w:r>
              <w:rPr>
                <w:rFonts w:hint="eastAsia" w:hAnsi="宋体" w:eastAsia="宋体" w:cs="宋体"/>
                <w:sz w:val="30"/>
                <w:szCs w:val="30"/>
                <w:lang w:val="en-US" w:eastAsia="zh-CN"/>
              </w:rPr>
              <w:t>响应</w:t>
            </w:r>
            <w:r>
              <w:rPr>
                <w:rFonts w:hint="eastAsia" w:ascii="宋体" w:hAnsi="宋体" w:eastAsia="宋体" w:cs="宋体"/>
                <w:sz w:val="30"/>
                <w:szCs w:val="30"/>
              </w:rPr>
              <w:t xml:space="preserve">文件中） </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djustRightInd w:val="0"/>
              <w:snapToGrid w:val="0"/>
              <w:jc w:val="center"/>
              <w:rPr>
                <w:rFonts w:ascii="宋体" w:hAnsi="宋体" w:eastAsia="宋体" w:cs="宋体"/>
                <w:kern w:val="0"/>
                <w:sz w:val="30"/>
                <w:szCs w:val="30"/>
              </w:rPr>
            </w:pPr>
          </w:p>
        </w:tc>
        <w:tc>
          <w:tcPr>
            <w:tcW w:w="7260" w:type="dxa"/>
          </w:tcPr>
          <w:p>
            <w:pPr>
              <w:adjustRightInd w:val="0"/>
              <w:snapToGrid w:val="0"/>
              <w:ind w:firstLine="600" w:firstLineChars="200"/>
              <w:jc w:val="left"/>
              <w:rPr>
                <w:rFonts w:ascii="宋体" w:hAnsi="宋体" w:eastAsia="宋体" w:cs="宋体"/>
                <w:bCs/>
                <w:kern w:val="0"/>
                <w:sz w:val="30"/>
                <w:szCs w:val="30"/>
              </w:rPr>
            </w:pPr>
            <w:r>
              <w:rPr>
                <w:rFonts w:hint="eastAsia" w:hAnsi="宋体" w:eastAsia="宋体" w:cs="宋体"/>
                <w:sz w:val="30"/>
                <w:szCs w:val="30"/>
                <w:lang w:val="en-US" w:eastAsia="zh-CN"/>
              </w:rPr>
              <w:t>响应</w:t>
            </w:r>
            <w:r>
              <w:rPr>
                <w:rFonts w:hint="eastAsia" w:ascii="宋体" w:hAnsi="宋体" w:eastAsia="宋体" w:cs="宋体"/>
                <w:sz w:val="30"/>
                <w:szCs w:val="30"/>
              </w:rPr>
              <w:t>商具备“重质量守信誉诚信施工单位”证书得1分；提供信用评级机构出具的信用评级报告为AAA级的得1分。</w:t>
            </w:r>
            <w:r>
              <w:rPr>
                <w:rFonts w:hint="eastAsia" w:ascii="宋体" w:hAnsi="宋体" w:eastAsia="宋体" w:cs="宋体"/>
                <w:kern w:val="0"/>
                <w:sz w:val="30"/>
                <w:szCs w:val="30"/>
                <w:lang w:val="zh-CN"/>
              </w:rPr>
              <w:t>（复印件装订于</w:t>
            </w:r>
            <w:r>
              <w:rPr>
                <w:rFonts w:hint="eastAsia" w:hAnsi="宋体" w:eastAsia="宋体" w:cs="宋体"/>
                <w:kern w:val="0"/>
                <w:sz w:val="30"/>
                <w:szCs w:val="30"/>
                <w:lang w:val="en-US" w:eastAsia="zh-CN"/>
              </w:rPr>
              <w:t>响应</w:t>
            </w:r>
            <w:r>
              <w:rPr>
                <w:rFonts w:hint="eastAsia" w:ascii="宋体" w:hAnsi="宋体" w:eastAsia="宋体" w:cs="宋体"/>
                <w:kern w:val="0"/>
                <w:sz w:val="30"/>
                <w:szCs w:val="30"/>
                <w:lang w:val="zh-CN"/>
              </w:rPr>
              <w:t>文件中）</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restart"/>
            <w:vAlign w:val="center"/>
          </w:tcPr>
          <w:p>
            <w:pPr>
              <w:widowControl/>
              <w:rPr>
                <w:rFonts w:ascii="宋体" w:hAnsi="宋体" w:eastAsia="宋体" w:cs="宋体"/>
                <w:kern w:val="0"/>
                <w:sz w:val="30"/>
                <w:szCs w:val="30"/>
              </w:rPr>
            </w:pPr>
            <w:r>
              <w:rPr>
                <w:rFonts w:hint="eastAsia" w:ascii="宋体" w:hAnsi="宋体" w:eastAsia="宋体" w:cs="宋体"/>
                <w:sz w:val="30"/>
                <w:szCs w:val="30"/>
              </w:rPr>
              <w:t>售后</w:t>
            </w:r>
            <w:r>
              <w:rPr>
                <w:rFonts w:hint="eastAsia" w:ascii="宋体" w:hAnsi="宋体" w:eastAsia="宋体" w:cs="宋体"/>
                <w:kern w:val="0"/>
                <w:sz w:val="30"/>
                <w:szCs w:val="30"/>
              </w:rPr>
              <w:t>（10分）</w:t>
            </w:r>
          </w:p>
        </w:tc>
        <w:tc>
          <w:tcPr>
            <w:tcW w:w="7260" w:type="dxa"/>
          </w:tcPr>
          <w:p>
            <w:pPr>
              <w:adjustRightInd w:val="0"/>
              <w:snapToGrid w:val="0"/>
              <w:ind w:firstLine="600" w:firstLineChars="200"/>
              <w:jc w:val="left"/>
              <w:rPr>
                <w:rFonts w:ascii="宋体" w:hAnsi="宋体" w:eastAsia="宋体" w:cs="宋体"/>
                <w:sz w:val="30"/>
                <w:szCs w:val="30"/>
              </w:rPr>
            </w:pPr>
            <w:r>
              <w:rPr>
                <w:rFonts w:hint="eastAsia" w:ascii="宋体" w:hAnsi="宋体" w:eastAsia="宋体" w:cs="宋体"/>
                <w:bCs/>
                <w:sz w:val="30"/>
                <w:szCs w:val="30"/>
              </w:rPr>
              <w:t>培训计划：</w:t>
            </w:r>
            <w:r>
              <w:rPr>
                <w:rFonts w:hint="eastAsia" w:ascii="宋体" w:hAnsi="宋体" w:eastAsia="宋体" w:cs="宋体"/>
                <w:sz w:val="30"/>
                <w:szCs w:val="30"/>
              </w:rPr>
              <w:t>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商提供的培训方案综合打分。</w:t>
            </w:r>
            <w:r>
              <w:rPr>
                <w:rFonts w:hint="eastAsia" w:ascii="宋体" w:hAnsi="宋体" w:eastAsia="宋体" w:cs="宋体"/>
                <w:sz w:val="30"/>
                <w:szCs w:val="30"/>
              </w:rPr>
              <w:t>详细、可行得4分，较详细、较可行得2-3分，基本详细、基本可行得1分，差或无得0分。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autoSpaceDN w:val="0"/>
              <w:rPr>
                <w:rFonts w:ascii="宋体" w:hAnsi="宋体" w:eastAsia="宋体" w:cs="宋体"/>
                <w:bCs/>
                <w:kern w:val="0"/>
                <w:sz w:val="30"/>
                <w:szCs w:val="30"/>
              </w:rPr>
            </w:pPr>
          </w:p>
        </w:tc>
        <w:tc>
          <w:tcPr>
            <w:tcW w:w="7260" w:type="dxa"/>
            <w:vAlign w:val="center"/>
          </w:tcPr>
          <w:p>
            <w:pPr>
              <w:autoSpaceDN w:val="0"/>
              <w:ind w:firstLine="600" w:firstLineChars="200"/>
              <w:rPr>
                <w:rFonts w:ascii="宋体" w:hAnsi="宋体" w:eastAsia="宋体" w:cs="宋体"/>
                <w:kern w:val="0"/>
                <w:sz w:val="30"/>
                <w:szCs w:val="30"/>
              </w:rPr>
            </w:pPr>
            <w:r>
              <w:rPr>
                <w:rFonts w:hint="eastAsia" w:ascii="宋体" w:hAnsi="宋体" w:eastAsia="宋体" w:cs="宋体"/>
                <w:sz w:val="30"/>
                <w:szCs w:val="30"/>
              </w:rPr>
              <w:t>售后维护：根据</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商提供的售后维护方案综合打分。完整、详细得4分，较完整、较详细得2-3分，基本完整、基本详细得1分，差或无得0分。</w:t>
            </w:r>
          </w:p>
        </w:tc>
        <w:tc>
          <w:tcPr>
            <w:tcW w:w="1500" w:type="dxa"/>
            <w:vAlign w:val="center"/>
          </w:tcPr>
          <w:p>
            <w:pPr>
              <w:jc w:val="center"/>
              <w:rPr>
                <w:rFonts w:ascii="宋体" w:hAnsi="宋体" w:eastAsia="宋体" w:cs="宋体"/>
                <w:bCs/>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3" w:hRule="atLeast"/>
          <w:jc w:val="center"/>
        </w:trPr>
        <w:tc>
          <w:tcPr>
            <w:tcW w:w="1661" w:type="dxa"/>
            <w:vMerge w:val="continue"/>
            <w:vAlign w:val="center"/>
          </w:tcPr>
          <w:p>
            <w:pPr>
              <w:widowControl/>
              <w:rPr>
                <w:rFonts w:ascii="宋体" w:hAnsi="宋体" w:eastAsia="宋体" w:cs="宋体"/>
                <w:kern w:val="0"/>
                <w:sz w:val="30"/>
                <w:szCs w:val="30"/>
              </w:rPr>
            </w:pPr>
          </w:p>
        </w:tc>
        <w:tc>
          <w:tcPr>
            <w:tcW w:w="7260" w:type="dxa"/>
            <w:vAlign w:val="center"/>
          </w:tcPr>
          <w:p>
            <w:pPr>
              <w:widowControl/>
              <w:ind w:firstLine="600" w:firstLineChars="200"/>
              <w:rPr>
                <w:rFonts w:ascii="宋体" w:hAnsi="宋体" w:eastAsia="宋体" w:cs="宋体"/>
                <w:kern w:val="0"/>
                <w:sz w:val="30"/>
                <w:szCs w:val="30"/>
              </w:rPr>
            </w:pPr>
            <w:r>
              <w:rPr>
                <w:rFonts w:hint="eastAsia" w:ascii="宋体" w:hAnsi="宋体" w:eastAsia="宋体" w:cs="宋体"/>
                <w:kern w:val="0"/>
                <w:sz w:val="30"/>
                <w:szCs w:val="30"/>
              </w:rPr>
              <w:t>质保期：</w:t>
            </w:r>
            <w:r>
              <w:rPr>
                <w:rFonts w:hint="eastAsia" w:hAnsi="宋体" w:eastAsia="宋体" w:cs="宋体"/>
                <w:kern w:val="0"/>
                <w:sz w:val="30"/>
                <w:szCs w:val="30"/>
                <w:lang w:val="en-US" w:eastAsia="zh-CN"/>
              </w:rPr>
              <w:t>响应</w:t>
            </w:r>
            <w:r>
              <w:rPr>
                <w:rFonts w:hint="eastAsia" w:ascii="宋体" w:hAnsi="宋体" w:eastAsia="宋体" w:cs="宋体"/>
                <w:kern w:val="0"/>
                <w:sz w:val="30"/>
                <w:szCs w:val="30"/>
              </w:rPr>
              <w:t>商承诺本项目质保期在满足</w:t>
            </w:r>
            <w:r>
              <w:rPr>
                <w:rFonts w:hint="eastAsia" w:hAnsi="宋体" w:eastAsia="宋体" w:cs="宋体"/>
                <w:kern w:val="0"/>
                <w:sz w:val="30"/>
                <w:szCs w:val="30"/>
                <w:lang w:val="en-US" w:eastAsia="zh-CN"/>
              </w:rPr>
              <w:t>磋商</w:t>
            </w:r>
            <w:r>
              <w:rPr>
                <w:rFonts w:hint="eastAsia" w:ascii="宋体" w:hAnsi="宋体" w:eastAsia="宋体" w:cs="宋体"/>
                <w:kern w:val="0"/>
                <w:sz w:val="30"/>
                <w:szCs w:val="30"/>
              </w:rPr>
              <w:t>文件要求的基础上，每增加6个月得1分，满分2分。</w:t>
            </w:r>
          </w:p>
        </w:tc>
        <w:tc>
          <w:tcPr>
            <w:tcW w:w="1500" w:type="dxa"/>
            <w:vAlign w:val="center"/>
          </w:tcPr>
          <w:p>
            <w:pPr>
              <w:jc w:val="center"/>
              <w:rPr>
                <w:rFonts w:ascii="宋体" w:hAnsi="宋体" w:eastAsia="宋体" w:cs="宋体"/>
                <w:kern w:val="0"/>
                <w:sz w:val="30"/>
                <w:szCs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3" w:hRule="atLeast"/>
          <w:jc w:val="center"/>
        </w:trPr>
        <w:tc>
          <w:tcPr>
            <w:tcW w:w="1661" w:type="dxa"/>
            <w:vAlign w:val="center"/>
          </w:tcPr>
          <w:p>
            <w:pPr>
              <w:jc w:val="center"/>
              <w:rPr>
                <w:rFonts w:ascii="宋体" w:hAnsi="宋体" w:eastAsia="宋体" w:cs="宋体"/>
                <w:kern w:val="0"/>
                <w:sz w:val="30"/>
                <w:szCs w:val="30"/>
              </w:rPr>
            </w:pP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文件规范性和完整性（2分）</w:t>
            </w:r>
          </w:p>
        </w:tc>
        <w:tc>
          <w:tcPr>
            <w:tcW w:w="7260" w:type="dxa"/>
            <w:vAlign w:val="center"/>
          </w:tcPr>
          <w:p>
            <w:pPr>
              <w:tabs>
                <w:tab w:val="left" w:pos="0"/>
                <w:tab w:val="left" w:pos="993"/>
                <w:tab w:val="left" w:pos="1134"/>
              </w:tabs>
              <w:adjustRightInd w:val="0"/>
              <w:snapToGrid w:val="0"/>
              <w:ind w:firstLine="600" w:firstLineChars="200"/>
              <w:rPr>
                <w:rFonts w:ascii="宋体" w:hAnsi="宋体" w:eastAsia="宋体" w:cs="宋体"/>
                <w:kern w:val="0"/>
                <w:sz w:val="30"/>
                <w:szCs w:val="30"/>
              </w:rPr>
            </w:pPr>
            <w:r>
              <w:rPr>
                <w:rFonts w:hint="eastAsia" w:hAnsi="宋体" w:eastAsia="宋体" w:cs="宋体"/>
                <w:snapToGrid w:val="0"/>
                <w:sz w:val="30"/>
                <w:szCs w:val="30"/>
                <w:lang w:val="en-US" w:eastAsia="zh-CN"/>
              </w:rPr>
              <w:t>响应</w:t>
            </w:r>
            <w:r>
              <w:rPr>
                <w:rFonts w:hint="eastAsia" w:ascii="宋体" w:hAnsi="宋体" w:eastAsia="宋体" w:cs="宋体"/>
                <w:snapToGrid w:val="0"/>
                <w:sz w:val="30"/>
                <w:szCs w:val="30"/>
              </w:rPr>
              <w:t>文件内容完备，</w:t>
            </w:r>
            <w:r>
              <w:rPr>
                <w:rFonts w:hint="eastAsia" w:ascii="宋体" w:hAnsi="宋体" w:eastAsia="宋体" w:cs="宋体"/>
                <w:bCs/>
                <w:kern w:val="0"/>
                <w:sz w:val="30"/>
                <w:szCs w:val="30"/>
              </w:rPr>
              <w:t>格式规范，</w:t>
            </w:r>
            <w:r>
              <w:rPr>
                <w:rFonts w:hint="eastAsia" w:ascii="宋体" w:hAnsi="宋体" w:eastAsia="宋体" w:cs="宋体"/>
                <w:snapToGrid w:val="0"/>
                <w:sz w:val="30"/>
                <w:szCs w:val="30"/>
              </w:rPr>
              <w:t>封装整齐，满足</w:t>
            </w:r>
            <w:r>
              <w:rPr>
                <w:rFonts w:hint="eastAsia" w:hAnsi="宋体" w:eastAsia="宋体" w:cs="宋体"/>
                <w:snapToGrid w:val="0"/>
                <w:sz w:val="30"/>
                <w:szCs w:val="30"/>
                <w:lang w:val="en-US" w:eastAsia="zh-CN"/>
              </w:rPr>
              <w:t>磋商</w:t>
            </w:r>
            <w:r>
              <w:rPr>
                <w:rFonts w:hint="eastAsia" w:ascii="宋体" w:hAnsi="宋体" w:eastAsia="宋体" w:cs="宋体"/>
                <w:snapToGrid w:val="0"/>
                <w:sz w:val="30"/>
                <w:szCs w:val="30"/>
              </w:rPr>
              <w:t>文件要求得2分。没有目录或目录与内文不对应扣0.5分；编排混乱、前后矛盾，扣1分；字迹模糊难辨扣0.5分。</w:t>
            </w:r>
          </w:p>
        </w:tc>
        <w:tc>
          <w:tcPr>
            <w:tcW w:w="1500" w:type="dxa"/>
            <w:vAlign w:val="center"/>
          </w:tcPr>
          <w:p>
            <w:pPr>
              <w:jc w:val="center"/>
              <w:rPr>
                <w:rFonts w:ascii="宋体" w:hAnsi="宋体" w:eastAsia="宋体" w:cs="宋体"/>
                <w:bCs/>
                <w:sz w:val="30"/>
                <w:szCs w:val="30"/>
              </w:rPr>
            </w:pPr>
          </w:p>
        </w:tc>
      </w:tr>
    </w:tbl>
    <w:p>
      <w:pPr>
        <w:jc w:val="both"/>
        <w:rPr>
          <w:rFonts w:hint="eastAsia" w:ascii="仿宋_GB2312" w:hAnsi="仿宋_GB2312" w:eastAsia="仿宋_GB2312" w:cs="仿宋_GB2312"/>
          <w:i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响应文件目录</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一、资格性和符合性检查响应对照表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二、资信证明文件要求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三、报价表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四、技术参数响应及偏离表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五、商务条款响应及偏离表</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六、技术响应文件要求和图纸要求</w:t>
      </w:r>
    </w:p>
    <w:p>
      <w:pPr>
        <w:tabs>
          <w:tab w:val="left" w:pos="5580"/>
        </w:tabs>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七、竞争性磋商函格式</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sz w:val="28"/>
          <w:szCs w:val="28"/>
        </w:rPr>
        <w:br w:type="page"/>
      </w:r>
      <w:r>
        <w:rPr>
          <w:rStyle w:val="22"/>
          <w:rFonts w:hint="eastAsia" w:ascii="仿宋_GB2312" w:hAnsi="仿宋_GB2312" w:eastAsia="仿宋_GB2312" w:cs="仿宋_GB2312"/>
          <w:b w:val="0"/>
          <w:color w:val="auto"/>
          <w:sz w:val="28"/>
          <w:szCs w:val="28"/>
        </w:rPr>
        <w:t>一、</w:t>
      </w:r>
      <w:r>
        <w:rPr>
          <w:rFonts w:hint="eastAsia" w:ascii="仿宋_GB2312" w:hAnsi="仿宋_GB2312" w:eastAsia="仿宋_GB2312" w:cs="仿宋_GB2312"/>
          <w:b/>
          <w:color w:val="000000"/>
          <w:sz w:val="28"/>
          <w:szCs w:val="28"/>
        </w:rPr>
        <w:t>磋商申请及声明</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zh-CN"/>
        </w:rPr>
        <w:t>致：</w:t>
      </w:r>
      <w:r>
        <w:rPr>
          <w:rFonts w:hint="eastAsia" w:ascii="仿宋_GB2312" w:hAnsi="仿宋_GB2312" w:eastAsia="仿宋_GB2312" w:cs="仿宋_GB2312"/>
          <w:sz w:val="28"/>
          <w:szCs w:val="28"/>
        </w:rPr>
        <w:t>南京交通职业技术学院</w:t>
      </w:r>
    </w:p>
    <w:p>
      <w:pPr>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根据贵方</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 xml:space="preserve">（项目名称） </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lang w:val="zh-CN"/>
        </w:rPr>
        <w:t>（项目编号）磋商邀请，正式授权下述签字人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(姓名和职务)代表</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（响应商名称），提交响应文件并参加磋商。</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据此函，签字人兹宣布同意如下：</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b/>
          <w:sz w:val="28"/>
          <w:szCs w:val="28"/>
          <w:lang w:val="zh-CN"/>
        </w:rPr>
        <w:t>我们的资格条件完全符合政府采购法和本次采购要求</w:t>
      </w:r>
      <w:r>
        <w:rPr>
          <w:rFonts w:hint="eastAsia" w:ascii="仿宋_GB2312" w:hAnsi="仿宋_GB2312" w:eastAsia="仿宋_GB2312" w:cs="仿宋_GB2312"/>
          <w:sz w:val="28"/>
          <w:szCs w:val="28"/>
          <w:lang w:val="zh-CN"/>
        </w:rPr>
        <w:t>，</w:t>
      </w:r>
      <w:r>
        <w:rPr>
          <w:rFonts w:hint="eastAsia" w:ascii="仿宋_GB2312" w:hAnsi="仿宋_GB2312" w:eastAsia="仿宋_GB2312" w:cs="仿宋_GB2312"/>
          <w:sz w:val="28"/>
          <w:szCs w:val="28"/>
        </w:rPr>
        <w:t>我们</w:t>
      </w:r>
      <w:r>
        <w:rPr>
          <w:rFonts w:hint="eastAsia" w:ascii="仿宋_GB2312" w:hAnsi="仿宋_GB2312" w:eastAsia="仿宋_GB2312" w:cs="仿宋_GB2312"/>
          <w:sz w:val="28"/>
          <w:szCs w:val="28"/>
          <w:lang w:val="zh-CN"/>
        </w:rPr>
        <w:t>同意并向贵方提供了与本次采购活动有关的所有证据和资料</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2、服务名称：</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zh-CN"/>
        </w:rPr>
        <w:t>我们的</w:t>
      </w:r>
      <w:r>
        <w:rPr>
          <w:rFonts w:hint="eastAsia" w:ascii="仿宋_GB2312" w:hAnsi="仿宋_GB2312" w:eastAsia="仿宋_GB2312" w:cs="仿宋_GB2312"/>
          <w:sz w:val="28"/>
          <w:szCs w:val="28"/>
        </w:rPr>
        <w:t>总报价为（大写）</w:t>
      </w:r>
      <w:r>
        <w:rPr>
          <w:rFonts w:hint="eastAsia" w:ascii="仿宋_GB2312" w:hAnsi="仿宋_GB2312" w:eastAsia="仿宋_GB2312" w:cs="仿宋_GB2312"/>
          <w:b/>
          <w:bCs/>
          <w:sz w:val="28"/>
          <w:szCs w:val="28"/>
          <w:u w:val="single"/>
        </w:rPr>
        <w:t xml:space="preserve">          </w:t>
      </w:r>
      <w:r>
        <w:rPr>
          <w:rFonts w:hint="eastAsia" w:ascii="仿宋_GB2312" w:hAnsi="仿宋_GB2312" w:eastAsia="仿宋_GB2312" w:cs="仿宋_GB2312"/>
          <w:sz w:val="28"/>
          <w:szCs w:val="28"/>
        </w:rPr>
        <w:t>元人民币。</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4、本项目承诺交付期为：</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zh-CN"/>
        </w:rPr>
        <w:t>我们已详细审核全部磋商文件及其有效补充文件，我们放弃对磋商文件任何误解的权利，提交响应文件后，</w:t>
      </w:r>
      <w:r>
        <w:rPr>
          <w:rFonts w:hint="eastAsia" w:ascii="仿宋_GB2312" w:hAnsi="仿宋_GB2312" w:eastAsia="仿宋_GB2312" w:cs="仿宋_GB2312"/>
          <w:b/>
          <w:sz w:val="28"/>
          <w:szCs w:val="28"/>
          <w:lang w:val="zh-CN"/>
        </w:rPr>
        <w:t>不对磋商文件本身提出质疑</w:t>
      </w:r>
      <w:r>
        <w:rPr>
          <w:rFonts w:hint="eastAsia" w:ascii="仿宋_GB2312" w:hAnsi="仿宋_GB2312" w:eastAsia="仿宋_GB2312" w:cs="仿宋_GB2312"/>
          <w:sz w:val="28"/>
          <w:szCs w:val="28"/>
          <w:lang w:val="zh-CN"/>
        </w:rPr>
        <w:t>。否则，属于不诚信和故意扰乱政府采购活动行为，我们将无条件接受处罚。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5、一旦我方成交，我方将根据磋商文件的规定，严格履行合同，保证于承诺的时间内完成本项目规定的服务内容。</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6、我方决不提供虚假材料谋取成交、决不采取不正当手段诋毁、排挤其他</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、决不与采购人、其它</w:t>
      </w: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或者采购办恶意串通、决不向采购人、采购办工作人员和磋商小组进行商业贿赂、决不拒绝有关部门监督检查或提供虚假情况，如有违反，无条件接受贵方及相关管理部门的处罚。</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7、我方正式通讯方式为：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地   址：</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电   话：</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传   真：</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8、我方正式开户银行和帐号为：</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rPr>
        <w:t>开户银行：</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帐    号：</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u w:val="single"/>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授权代表姓名（签字）：</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响应商</w:t>
      </w:r>
      <w:r>
        <w:rPr>
          <w:rFonts w:hint="eastAsia" w:ascii="仿宋_GB2312" w:hAnsi="仿宋_GB2312" w:eastAsia="仿宋_GB2312" w:cs="仿宋_GB2312"/>
          <w:sz w:val="28"/>
          <w:szCs w:val="28"/>
        </w:rPr>
        <w:t>名称（公章）：</w:t>
      </w:r>
      <w:r>
        <w:rPr>
          <w:rFonts w:hint="eastAsia" w:ascii="仿宋_GB2312" w:hAnsi="仿宋_GB2312" w:eastAsia="仿宋_GB2312" w:cs="仿宋_GB2312"/>
          <w:sz w:val="28"/>
          <w:szCs w:val="28"/>
          <w:u w:val="single"/>
        </w:rPr>
        <w:t xml:space="preserve">                 </w:t>
      </w:r>
    </w:p>
    <w:p>
      <w:pPr>
        <w:ind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日    期：</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u w:val="single"/>
        </w:rPr>
        <w:t xml:space="preserve">    </w:t>
      </w:r>
      <w:r>
        <w:rPr>
          <w:rFonts w:hint="eastAsia" w:ascii="仿宋_GB2312" w:hAnsi="仿宋_GB2312" w:eastAsia="仿宋_GB2312" w:cs="仿宋_GB2312"/>
          <w:sz w:val="28"/>
          <w:szCs w:val="28"/>
        </w:rPr>
        <w:t>日</w:t>
      </w:r>
    </w:p>
    <w:p>
      <w:pPr>
        <w:widowControl/>
        <w:adjustRightInd/>
        <w:spacing w:line="240" w:lineRule="auto"/>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二、法定代表人授权书</w:t>
      </w:r>
    </w:p>
    <w:p>
      <w:pPr>
        <w:autoSpaceDE w:val="0"/>
        <w:autoSpaceDN w:val="0"/>
        <w:jc w:val="both"/>
        <w:rPr>
          <w:rFonts w:hint="eastAsia" w:ascii="仿宋_GB2312" w:hAnsi="仿宋_GB2312" w:eastAsia="仿宋_GB2312" w:cs="仿宋_GB2312"/>
          <w:bCs/>
          <w:sz w:val="28"/>
          <w:szCs w:val="28"/>
          <w:lang w:val="zh-CN"/>
        </w:rPr>
      </w:pPr>
      <w:r>
        <w:rPr>
          <w:rFonts w:hint="eastAsia" w:ascii="仿宋_GB2312" w:hAnsi="仿宋_GB2312" w:eastAsia="仿宋_GB2312" w:cs="仿宋_GB2312"/>
          <w:bCs/>
          <w:sz w:val="28"/>
          <w:szCs w:val="28"/>
        </w:rPr>
        <w:t>南京交通职业技术学院</w:t>
      </w:r>
      <w:r>
        <w:rPr>
          <w:rFonts w:hint="eastAsia" w:ascii="仿宋_GB2312" w:hAnsi="仿宋_GB2312" w:eastAsia="仿宋_GB2312" w:cs="仿宋_GB2312"/>
          <w:bCs/>
          <w:sz w:val="28"/>
          <w:szCs w:val="28"/>
          <w:lang w:val="zh-CN"/>
        </w:rPr>
        <w:t>：</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本授权书声明：注册于</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（响应商住址）的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（响应商名称）法定代表人</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（法定代表人姓名、职务）代表本公司授权在下面签字的</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（响应商代表姓名、职务）为本公司的合法代理人，就贵方组织的</w:t>
      </w:r>
    </w:p>
    <w:p>
      <w:pPr>
        <w:autoSpaceDE w:val="0"/>
        <w:autoSpaceDN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（项目名称）竞争性磋商，以本公司名义处理一切与之有关的事务。</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本授权书于        年   月   日签字生效，特此声明。</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法定代表人签字：</w:t>
      </w:r>
    </w:p>
    <w:p>
      <w:pPr>
        <w:autoSpaceDE w:val="0"/>
        <w:autoSpaceDN w:val="0"/>
        <w:ind w:firstLine="560" w:firstLineChars="2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 xml:space="preserve">被授权人签字：                    </w:t>
      </w:r>
    </w:p>
    <w:p>
      <w:pPr>
        <w:tabs>
          <w:tab w:val="left" w:pos="1440"/>
        </w:tabs>
        <w:autoSpaceDE w:val="0"/>
        <w:autoSpaceDN w:val="0"/>
        <w:ind w:firstLine="42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日        期：        年    月    日</w:t>
      </w:r>
    </w:p>
    <w:p>
      <w:pPr>
        <w:jc w:val="both"/>
        <w:rPr>
          <w:rStyle w:val="22"/>
          <w:rFonts w:hint="eastAsia" w:ascii="仿宋_GB2312" w:hAnsi="仿宋_GB2312" w:eastAsia="仿宋_GB2312" w:cs="仿宋_GB2312"/>
          <w:color w:val="auto"/>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widowControl/>
        <w:adjustRightInd/>
        <w:spacing w:line="240" w:lineRule="auto"/>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br w:type="page"/>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三、报价表</w:t>
      </w:r>
    </w:p>
    <w:tbl>
      <w:tblPr>
        <w:tblStyle w:val="17"/>
        <w:tblW w:w="9242" w:type="dxa"/>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
        <w:gridCol w:w="852"/>
        <w:gridCol w:w="2339"/>
        <w:gridCol w:w="2302"/>
        <w:gridCol w:w="1020"/>
        <w:gridCol w:w="2690"/>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gridAfter w:val="1"/>
          <w:wBefore w:w="24" w:type="dxa"/>
          <w:wAfter w:w="15" w:type="dxa"/>
          <w:cantSplit/>
          <w:trHeight w:val="284" w:hRule="atLeast"/>
        </w:trPr>
        <w:tc>
          <w:tcPr>
            <w:tcW w:w="6513"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690" w:type="dxa"/>
            <w:tcBorders>
              <w:top w:val="nil"/>
              <w:left w:val="nil"/>
              <w:right w:val="nil"/>
            </w:tcBorders>
            <w:vAlign w:val="center"/>
          </w:tcPr>
          <w:p>
            <w:pPr>
              <w:widowControl/>
              <w:jc w:val="both"/>
              <w:rPr>
                <w:rFonts w:hint="eastAsia" w:ascii="仿宋_GB2312" w:hAnsi="仿宋_GB2312" w:eastAsia="仿宋_GB2312" w:cs="仿宋_GB2312"/>
                <w:color w:val="00000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包号</w:t>
            </w:r>
          </w:p>
        </w:tc>
        <w:tc>
          <w:tcPr>
            <w:tcW w:w="4641" w:type="dxa"/>
            <w:gridSpan w:val="2"/>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               称</w:t>
            </w:r>
          </w:p>
        </w:tc>
        <w:tc>
          <w:tcPr>
            <w:tcW w:w="3725" w:type="dxa"/>
            <w:gridSpan w:val="3"/>
            <w:vAlign w:val="center"/>
          </w:tcPr>
          <w:p>
            <w:pPr>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报价（元）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876" w:type="dxa"/>
            <w:gridSpan w:val="2"/>
            <w:vAlign w:val="center"/>
          </w:tcPr>
          <w:p>
            <w:pPr>
              <w:jc w:val="both"/>
              <w:rPr>
                <w:rFonts w:hint="eastAsia" w:ascii="仿宋_GB2312" w:hAnsi="仿宋_GB2312" w:eastAsia="仿宋_GB2312" w:cs="仿宋_GB2312"/>
                <w:spacing w:val="-2"/>
                <w:sz w:val="28"/>
                <w:szCs w:val="28"/>
              </w:rPr>
            </w:pPr>
          </w:p>
        </w:tc>
        <w:tc>
          <w:tcPr>
            <w:tcW w:w="4641" w:type="dxa"/>
            <w:gridSpan w:val="2"/>
            <w:vAlign w:val="center"/>
          </w:tcPr>
          <w:p>
            <w:pPr>
              <w:jc w:val="both"/>
              <w:rPr>
                <w:rFonts w:hint="eastAsia" w:ascii="仿宋_GB2312" w:hAnsi="仿宋_GB2312" w:eastAsia="仿宋_GB2312" w:cs="仿宋_GB2312"/>
                <w:spacing w:val="-2"/>
                <w:sz w:val="28"/>
                <w:szCs w:val="28"/>
              </w:rPr>
            </w:pPr>
          </w:p>
        </w:tc>
        <w:tc>
          <w:tcPr>
            <w:tcW w:w="3725" w:type="dxa"/>
            <w:gridSpan w:val="3"/>
            <w:vAlign w:val="center"/>
          </w:tcPr>
          <w:p>
            <w:pPr>
              <w:jc w:val="both"/>
              <w:rPr>
                <w:rFonts w:hint="eastAsia" w:ascii="仿宋_GB2312" w:hAnsi="仿宋_GB2312" w:eastAsia="仿宋_GB2312" w:cs="仿宋_GB2312"/>
                <w:sz w:val="28"/>
                <w:szCs w:val="28"/>
                <w:lang w:val="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284" w:hRule="atLeast"/>
        </w:trPr>
        <w:tc>
          <w:tcPr>
            <w:tcW w:w="3215" w:type="dxa"/>
            <w:gridSpan w:val="3"/>
            <w:vAlign w:val="center"/>
          </w:tcPr>
          <w:p>
            <w:pPr>
              <w:widowControl/>
              <w:snapToGrid w:val="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总价（人民币，大写）</w:t>
            </w:r>
          </w:p>
        </w:tc>
        <w:tc>
          <w:tcPr>
            <w:tcW w:w="6027" w:type="dxa"/>
            <w:gridSpan w:val="4"/>
            <w:vAlign w:val="center"/>
          </w:tcPr>
          <w:p>
            <w:pPr>
              <w:widowControl/>
              <w:snapToGrid w:val="0"/>
              <w:ind w:firstLine="5320" w:firstLineChars="190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元</w:t>
            </w: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（盖章）</w:t>
      </w:r>
    </w:p>
    <w:p>
      <w:pPr>
        <w:jc w:val="both"/>
        <w:rPr>
          <w:rFonts w:hint="eastAsia" w:ascii="仿宋_GB2312" w:hAnsi="仿宋_GB2312" w:eastAsia="仿宋_GB2312" w:cs="仿宋_GB2312"/>
          <w:b/>
          <w:color w:val="000000"/>
          <w:sz w:val="28"/>
          <w:szCs w:val="28"/>
        </w:rPr>
      </w:pPr>
      <w:r>
        <w:rPr>
          <w:rStyle w:val="22"/>
          <w:rFonts w:hint="eastAsia" w:ascii="仿宋_GB2312" w:hAnsi="仿宋_GB2312" w:eastAsia="仿宋_GB2312" w:cs="仿宋_GB2312"/>
          <w:color w:val="auto"/>
          <w:sz w:val="28"/>
          <w:szCs w:val="28"/>
        </w:rPr>
        <w:t>四、</w:t>
      </w:r>
      <w:r>
        <w:rPr>
          <w:rFonts w:hint="eastAsia" w:ascii="仿宋_GB2312" w:hAnsi="仿宋_GB2312" w:eastAsia="仿宋_GB2312" w:cs="仿宋_GB2312"/>
          <w:b/>
          <w:color w:val="000000"/>
          <w:sz w:val="28"/>
          <w:szCs w:val="28"/>
        </w:rPr>
        <w:t>分项报价表（服务类参照）</w:t>
      </w:r>
    </w:p>
    <w:p>
      <w:pPr>
        <w:widowControl/>
        <w:jc w:val="both"/>
        <w:rPr>
          <w:rFonts w:hint="eastAsia" w:ascii="仿宋_GB2312" w:hAnsi="仿宋_GB2312" w:eastAsia="仿宋_GB2312" w:cs="仿宋_GB2312"/>
          <w:color w:val="000000"/>
          <w:sz w:val="28"/>
          <w:szCs w:val="28"/>
          <w:lang w:val="zh-CN"/>
        </w:rPr>
      </w:pPr>
    </w:p>
    <w:tbl>
      <w:tblPr>
        <w:tblStyle w:val="17"/>
        <w:tblW w:w="887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22"/>
        <w:gridCol w:w="1996"/>
        <w:gridCol w:w="3786"/>
        <w:gridCol w:w="1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99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名称</w:t>
            </w:r>
          </w:p>
        </w:tc>
        <w:tc>
          <w:tcPr>
            <w:tcW w:w="3786"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品牌、规格或型号或分项目</w:t>
            </w:r>
            <w:r>
              <w:rPr>
                <w:rFonts w:hint="eastAsia" w:ascii="仿宋_GB2312" w:hAnsi="仿宋_GB2312" w:eastAsia="仿宋_GB2312" w:cs="仿宋_GB2312"/>
                <w:color w:val="000000"/>
                <w:sz w:val="28"/>
                <w:szCs w:val="28"/>
              </w:rPr>
              <w:t>（服务类列支费用种类）</w:t>
            </w:r>
          </w:p>
        </w:tc>
        <w:tc>
          <w:tcPr>
            <w:tcW w:w="1675"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单价</w:t>
            </w:r>
            <w:r>
              <w:rPr>
                <w:rFonts w:hint="eastAsia" w:ascii="仿宋_GB2312" w:hAnsi="仿宋_GB2312" w:eastAsia="仿宋_GB2312" w:cs="仿宋_GB2312"/>
                <w:b/>
                <w:color w:val="000000"/>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422"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99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3786" w:type="dxa"/>
            <w:tcBorders>
              <w:left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c>
          <w:tcPr>
            <w:tcW w:w="1675"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说明：1、如果行数不够，请自行增加。</w:t>
      </w:r>
    </w:p>
    <w:p>
      <w:pPr>
        <w:widowControl/>
        <w:numPr>
          <w:ilvl w:val="0"/>
          <w:numId w:val="15"/>
        </w:numPr>
        <w:ind w:firstLine="843" w:firstLineChars="300"/>
        <w:jc w:val="both"/>
        <w:textAlignment w:val="auto"/>
        <w:rPr>
          <w:rFonts w:hint="eastAsia" w:ascii="仿宋_GB2312" w:hAnsi="仿宋_GB2312" w:eastAsia="仿宋_GB2312" w:cs="仿宋_GB2312"/>
          <w:b/>
          <w:sz w:val="28"/>
          <w:szCs w:val="28"/>
          <w:lang w:val="zh-CN"/>
        </w:rPr>
      </w:pP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五、磋商项目主要产品一览表（服务类参照）</w:t>
      </w:r>
    </w:p>
    <w:p>
      <w:pPr>
        <w:autoSpaceDE w:val="0"/>
        <w:autoSpaceDN w:val="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（至少填报单价最高的两个产品）</w:t>
      </w:r>
    </w:p>
    <w:tbl>
      <w:tblPr>
        <w:tblStyle w:val="17"/>
        <w:tblpPr w:leftFromText="180" w:rightFromText="180" w:vertAnchor="text" w:horzAnchor="margin" w:tblpY="133"/>
        <w:tblW w:w="92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80"/>
        <w:gridCol w:w="2880"/>
        <w:gridCol w:w="795"/>
        <w:gridCol w:w="285"/>
        <w:gridCol w:w="1080"/>
        <w:gridCol w:w="15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303" w:type="dxa"/>
            <w:gridSpan w:val="4"/>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3"/>
            <w:tcBorders>
              <w:top w:val="nil"/>
              <w:left w:val="nil"/>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9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28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货物品牌、规格或型号（或服务内容）</w:t>
            </w:r>
          </w:p>
        </w:tc>
        <w:tc>
          <w:tcPr>
            <w:tcW w:w="1080" w:type="dxa"/>
            <w:gridSpan w:val="2"/>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rPr>
              <w:t>数量</w:t>
            </w:r>
          </w:p>
        </w:tc>
        <w:tc>
          <w:tcPr>
            <w:tcW w:w="1080" w:type="dxa"/>
            <w:tcBorders>
              <w:top w:val="single" w:color="auto" w:sz="4" w:space="0"/>
              <w:left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单价（元）</w:t>
            </w:r>
          </w:p>
        </w:tc>
        <w:tc>
          <w:tcPr>
            <w:tcW w:w="1574"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质保年限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1</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2</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4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3</w:t>
            </w:r>
          </w:p>
        </w:tc>
        <w:tc>
          <w:tcPr>
            <w:tcW w:w="19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28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gridSpan w:val="2"/>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080" w:type="dxa"/>
            <w:tcBorders>
              <w:left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7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pStyle w:val="23"/>
        <w:widowControl/>
        <w:numPr>
          <w:ilvl w:val="0"/>
          <w:numId w:val="15"/>
        </w:numPr>
        <w:ind w:firstLineChars="0"/>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 xml:space="preserve">                                            </w:t>
      </w:r>
      <w:r>
        <w:rPr>
          <w:rFonts w:hint="eastAsia" w:ascii="仿宋_GB2312" w:hAnsi="仿宋_GB2312" w:eastAsia="仿宋_GB2312" w:cs="仿宋_GB2312"/>
          <w:sz w:val="28"/>
          <w:szCs w:val="28"/>
          <w:lang w:val="zh-CN"/>
        </w:rPr>
        <w:t>（公章）</w:t>
      </w:r>
    </w:p>
    <w:p>
      <w:pPr>
        <w:pStyle w:val="23"/>
        <w:widowControl/>
        <w:numPr>
          <w:ilvl w:val="0"/>
          <w:numId w:val="15"/>
        </w:numPr>
        <w:ind w:firstLineChars="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r>
        <w:rPr>
          <w:rFonts w:hint="eastAsia" w:ascii="仿宋_GB2312" w:hAnsi="仿宋_GB2312" w:eastAsia="仿宋_GB2312" w:cs="仿宋_GB2312"/>
          <w:b/>
          <w:sz w:val="28"/>
          <w:szCs w:val="28"/>
          <w:lang w:val="zh-CN"/>
        </w:rPr>
        <w:t>经磋商后，如果成交价高于或低于响应商在响应文件首次报价的，分项报价同比例调整。</w:t>
      </w: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六、技术（服务）条款偏离表</w:t>
      </w:r>
    </w:p>
    <w:tbl>
      <w:tblPr>
        <w:tblStyle w:val="17"/>
        <w:tblW w:w="9435" w:type="dxa"/>
        <w:jc w:val="center"/>
        <w:tblInd w:w="0" w:type="dxa"/>
        <w:tblLayout w:type="fixed"/>
        <w:tblCellMar>
          <w:top w:w="0" w:type="dxa"/>
          <w:left w:w="0" w:type="dxa"/>
          <w:bottom w:w="0" w:type="dxa"/>
          <w:right w:w="0" w:type="dxa"/>
        </w:tblCellMar>
      </w:tblPr>
      <w:tblGrid>
        <w:gridCol w:w="765"/>
        <w:gridCol w:w="1261"/>
        <w:gridCol w:w="3059"/>
        <w:gridCol w:w="1411"/>
        <w:gridCol w:w="1829"/>
        <w:gridCol w:w="1110"/>
      </w:tblGrid>
      <w:tr>
        <w:tblPrEx>
          <w:tblLayout w:type="fixed"/>
          <w:tblCellMar>
            <w:top w:w="0" w:type="dxa"/>
            <w:left w:w="0" w:type="dxa"/>
            <w:bottom w:w="0" w:type="dxa"/>
            <w:right w:w="0" w:type="dxa"/>
          </w:tblCellMar>
        </w:tblPrEx>
        <w:trPr>
          <w:trHeight w:val="284" w:hRule="atLeast"/>
          <w:jc w:val="center"/>
        </w:trPr>
        <w:tc>
          <w:tcPr>
            <w:tcW w:w="6496" w:type="dxa"/>
            <w:gridSpan w:val="4"/>
            <w:tcBorders>
              <w:top w:val="nil"/>
              <w:left w:val="nil"/>
              <w:bottom w:val="single" w:color="auto" w:sz="6"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939" w:type="dxa"/>
            <w:gridSpan w:val="2"/>
            <w:tcBorders>
              <w:top w:val="nil"/>
              <w:left w:val="nil"/>
              <w:bottom w:val="single" w:color="auto" w:sz="6" w:space="0"/>
              <w:right w:val="nil"/>
            </w:tcBorders>
            <w:vAlign w:val="center"/>
          </w:tcPr>
          <w:p>
            <w:pPr>
              <w:widowControl/>
              <w:ind w:firstLine="420" w:firstLineChars="150"/>
              <w:jc w:val="both"/>
              <w:rPr>
                <w:rFonts w:hint="eastAsia" w:ascii="仿宋_GB2312" w:hAnsi="仿宋_GB2312" w:eastAsia="仿宋_GB2312" w:cs="仿宋_GB2312"/>
                <w:color w:val="000000"/>
                <w:sz w:val="28"/>
                <w:szCs w:val="28"/>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竞争性磋商要求规格</w:t>
            </w: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r>
        <w:tblPrEx>
          <w:tblLayout w:type="fixed"/>
          <w:tblCellMar>
            <w:top w:w="0" w:type="dxa"/>
            <w:left w:w="0" w:type="dxa"/>
            <w:bottom w:w="0" w:type="dxa"/>
            <w:right w:w="0" w:type="dxa"/>
          </w:tblCellMar>
        </w:tblPrEx>
        <w:trPr>
          <w:trHeight w:val="284" w:hRule="atLeast"/>
          <w:jc w:val="center"/>
        </w:trPr>
        <w:tc>
          <w:tcPr>
            <w:tcW w:w="765"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261"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059"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3240" w:type="dxa"/>
            <w:gridSpan w:val="2"/>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c>
          <w:tcPr>
            <w:tcW w:w="1110" w:type="dxa"/>
            <w:tcBorders>
              <w:top w:val="single" w:color="auto" w:sz="6" w:space="0"/>
              <w:left w:val="single" w:color="auto" w:sz="6" w:space="0"/>
              <w:bottom w:val="single" w:color="auto" w:sz="6" w:space="0"/>
              <w:right w:val="single" w:color="auto" w:sz="6" w:space="0"/>
            </w:tcBorders>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w:t>
      </w:r>
    </w:p>
    <w:p>
      <w:pPr>
        <w:autoSpaceDE w:val="0"/>
        <w:autoSpaceDN w:val="0"/>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1、响应商应逐一说明提供的产品和服务响应，直接拷贝竞争性文件技术要求的，按照不响应处理；</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2、如果行数不够，请自行增加。</w:t>
      </w: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七、商务条款偏离表</w:t>
      </w:r>
    </w:p>
    <w:p>
      <w:pPr>
        <w:widowControl/>
        <w:jc w:val="both"/>
        <w:rPr>
          <w:rFonts w:hint="eastAsia" w:ascii="仿宋_GB2312" w:hAnsi="仿宋_GB2312" w:eastAsia="仿宋_GB2312" w:cs="仿宋_GB2312"/>
          <w:color w:val="000000"/>
          <w:sz w:val="28"/>
          <w:szCs w:val="28"/>
          <w:lang w:val="zh-CN"/>
        </w:rPr>
      </w:pPr>
    </w:p>
    <w:tbl>
      <w:tblPr>
        <w:tblStyle w:val="17"/>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51"/>
        <w:gridCol w:w="1265"/>
        <w:gridCol w:w="3055"/>
        <w:gridCol w:w="1415"/>
        <w:gridCol w:w="181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393" w:hRule="atLeast"/>
          <w:tblHeader/>
          <w:jc w:val="center"/>
        </w:trPr>
        <w:tc>
          <w:tcPr>
            <w:tcW w:w="6386" w:type="dxa"/>
            <w:gridSpan w:val="4"/>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2830" w:type="dxa"/>
            <w:gridSpan w:val="2"/>
            <w:tcBorders>
              <w:top w:val="nil"/>
              <w:left w:val="nil"/>
              <w:right w:val="nil"/>
            </w:tcBorders>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序号</w:t>
            </w:r>
          </w:p>
        </w:tc>
        <w:tc>
          <w:tcPr>
            <w:tcW w:w="126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竞争性磋商文件条目号</w:t>
            </w:r>
          </w:p>
        </w:tc>
        <w:tc>
          <w:tcPr>
            <w:tcW w:w="3055"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竞争性磋商文件要求的商务条款</w:t>
            </w: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响应商响应</w:t>
            </w:r>
          </w:p>
        </w:tc>
        <w:tc>
          <w:tcPr>
            <w:tcW w:w="1020" w:type="dxa"/>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Ex>
        <w:trPr>
          <w:trHeight w:val="284" w:hRule="atLeast"/>
          <w:jc w:val="center"/>
        </w:trPr>
        <w:tc>
          <w:tcPr>
            <w:tcW w:w="651" w:type="dxa"/>
            <w:vAlign w:val="center"/>
          </w:tcPr>
          <w:p>
            <w:pPr>
              <w:widowControl/>
              <w:jc w:val="both"/>
              <w:rPr>
                <w:rFonts w:hint="eastAsia" w:ascii="仿宋_GB2312" w:hAnsi="仿宋_GB2312" w:eastAsia="仿宋_GB2312" w:cs="仿宋_GB2312"/>
                <w:color w:val="000000"/>
                <w:sz w:val="28"/>
                <w:szCs w:val="28"/>
                <w:lang w:val="zh-CN"/>
              </w:rPr>
            </w:pPr>
          </w:p>
        </w:tc>
        <w:tc>
          <w:tcPr>
            <w:tcW w:w="1265" w:type="dxa"/>
            <w:vAlign w:val="center"/>
          </w:tcPr>
          <w:p>
            <w:pPr>
              <w:widowControl/>
              <w:jc w:val="both"/>
              <w:rPr>
                <w:rFonts w:hint="eastAsia" w:ascii="仿宋_GB2312" w:hAnsi="仿宋_GB2312" w:eastAsia="仿宋_GB2312" w:cs="仿宋_GB2312"/>
                <w:color w:val="000000"/>
                <w:sz w:val="28"/>
                <w:szCs w:val="28"/>
                <w:lang w:val="zh-CN"/>
              </w:rPr>
            </w:pPr>
          </w:p>
        </w:tc>
        <w:tc>
          <w:tcPr>
            <w:tcW w:w="3055" w:type="dxa"/>
            <w:vAlign w:val="center"/>
          </w:tcPr>
          <w:p>
            <w:pPr>
              <w:widowControl/>
              <w:jc w:val="both"/>
              <w:rPr>
                <w:rFonts w:hint="eastAsia" w:ascii="仿宋_GB2312" w:hAnsi="仿宋_GB2312" w:eastAsia="仿宋_GB2312" w:cs="仿宋_GB2312"/>
                <w:color w:val="000000"/>
                <w:sz w:val="28"/>
                <w:szCs w:val="28"/>
                <w:lang w:val="zh-CN"/>
              </w:rPr>
            </w:pPr>
          </w:p>
        </w:tc>
        <w:tc>
          <w:tcPr>
            <w:tcW w:w="3225" w:type="dxa"/>
            <w:gridSpan w:val="2"/>
            <w:vAlign w:val="center"/>
          </w:tcPr>
          <w:p>
            <w:pPr>
              <w:widowControl/>
              <w:jc w:val="both"/>
              <w:rPr>
                <w:rFonts w:hint="eastAsia" w:ascii="仿宋_GB2312" w:hAnsi="仿宋_GB2312" w:eastAsia="仿宋_GB2312" w:cs="仿宋_GB2312"/>
                <w:color w:val="000000"/>
                <w:sz w:val="28"/>
                <w:szCs w:val="28"/>
                <w:lang w:val="zh-CN"/>
              </w:rPr>
            </w:pPr>
          </w:p>
        </w:tc>
        <w:tc>
          <w:tcPr>
            <w:tcW w:w="1020" w:type="dxa"/>
            <w:vAlign w:val="center"/>
          </w:tcPr>
          <w:p>
            <w:pPr>
              <w:widowControl/>
              <w:jc w:val="both"/>
              <w:rPr>
                <w:rFonts w:hint="eastAsia" w:ascii="仿宋_GB2312" w:hAnsi="仿宋_GB2312" w:eastAsia="仿宋_GB2312" w:cs="仿宋_GB2312"/>
                <w:color w:val="000000"/>
                <w:sz w:val="28"/>
                <w:szCs w:val="28"/>
                <w:lang w:val="zh-CN"/>
              </w:rPr>
            </w:pPr>
          </w:p>
        </w:tc>
      </w:tr>
    </w:tbl>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响应商名称：</w:t>
      </w:r>
      <w:r>
        <w:rPr>
          <w:rFonts w:hint="eastAsia" w:ascii="仿宋_GB2312" w:hAnsi="仿宋_GB2312" w:eastAsia="仿宋_GB2312" w:cs="仿宋_GB2312"/>
          <w:color w:val="000000"/>
          <w:sz w:val="28"/>
          <w:szCs w:val="28"/>
          <w:u w:val="single"/>
          <w:lang w:val="zh-CN"/>
        </w:rPr>
        <w:t xml:space="preserve">                                            </w:t>
      </w:r>
      <w:r>
        <w:rPr>
          <w:rFonts w:hint="eastAsia" w:ascii="仿宋_GB2312" w:hAnsi="仿宋_GB2312" w:eastAsia="仿宋_GB2312" w:cs="仿宋_GB2312"/>
          <w:color w:val="000000"/>
          <w:sz w:val="28"/>
          <w:szCs w:val="28"/>
          <w:lang w:val="zh-CN"/>
        </w:rPr>
        <w:t>（盖章）</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说明：如果行数不够，请自行增加。</w:t>
      </w:r>
    </w:p>
    <w:p>
      <w:pPr>
        <w:widowControl/>
        <w:jc w:val="both"/>
        <w:rPr>
          <w:rFonts w:hint="eastAsia" w:ascii="仿宋_GB2312" w:hAnsi="仿宋_GB2312" w:eastAsia="仿宋_GB2312" w:cs="仿宋_GB2312"/>
          <w:color w:val="000000"/>
          <w:sz w:val="28"/>
          <w:szCs w:val="28"/>
          <w:lang w:val="zh-CN"/>
        </w:rPr>
      </w:pPr>
    </w:p>
    <w:p>
      <w:pPr>
        <w:jc w:val="both"/>
        <w:rPr>
          <w:rFonts w:hint="eastAsia" w:ascii="仿宋_GB2312" w:hAnsi="仿宋_GB2312" w:eastAsia="仿宋_GB2312" w:cs="仿宋_GB2312"/>
          <w:b/>
          <w:color w:val="000000"/>
          <w:sz w:val="28"/>
          <w:szCs w:val="28"/>
        </w:rPr>
      </w:pPr>
    </w:p>
    <w:p>
      <w:pPr>
        <w:jc w:val="both"/>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八、供货一览表（服务类参照）</w:t>
      </w:r>
    </w:p>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（含</w:t>
      </w:r>
      <w:r>
        <w:rPr>
          <w:rFonts w:hint="eastAsia" w:ascii="仿宋_GB2312" w:hAnsi="仿宋_GB2312" w:eastAsia="仿宋_GB2312" w:cs="仿宋_GB2312"/>
          <w:sz w:val="28"/>
          <w:szCs w:val="28"/>
        </w:rPr>
        <w:t>配件、备品、消耗材料</w:t>
      </w:r>
      <w:r>
        <w:rPr>
          <w:rFonts w:hint="eastAsia" w:ascii="仿宋_GB2312" w:hAnsi="仿宋_GB2312" w:eastAsia="仿宋_GB2312" w:cs="仿宋_GB2312"/>
          <w:sz w:val="28"/>
          <w:szCs w:val="28"/>
          <w:lang w:val="zh-CN"/>
        </w:rPr>
        <w:t>）</w:t>
      </w:r>
    </w:p>
    <w:p>
      <w:pPr>
        <w:widowControl/>
        <w:jc w:val="both"/>
        <w:rPr>
          <w:rFonts w:hint="eastAsia" w:ascii="仿宋_GB2312" w:hAnsi="仿宋_GB2312" w:eastAsia="仿宋_GB2312" w:cs="仿宋_GB2312"/>
          <w:sz w:val="28"/>
          <w:szCs w:val="28"/>
          <w:lang w:val="zh-CN"/>
        </w:rPr>
      </w:pPr>
    </w:p>
    <w:tbl>
      <w:tblPr>
        <w:tblStyle w:val="17"/>
        <w:tblW w:w="93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518"/>
        <w:gridCol w:w="667"/>
        <w:gridCol w:w="894"/>
        <w:gridCol w:w="1531"/>
        <w:gridCol w:w="1430"/>
        <w:gridCol w:w="156"/>
        <w:gridCol w:w="1537"/>
        <w:gridCol w:w="15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6048" w:type="dxa"/>
            <w:gridSpan w:val="6"/>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项目名称：</w:t>
            </w:r>
          </w:p>
        </w:tc>
        <w:tc>
          <w:tcPr>
            <w:tcW w:w="3254" w:type="dxa"/>
            <w:gridSpan w:val="3"/>
            <w:tcBorders>
              <w:top w:val="nil"/>
              <w:left w:val="nil"/>
              <w:bottom w:val="single" w:color="auto" w:sz="4" w:space="0"/>
              <w:right w:val="nil"/>
            </w:tcBorders>
            <w:vAlign w:val="center"/>
          </w:tcPr>
          <w:p>
            <w:pPr>
              <w:widowControl/>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分包</w:t>
            </w:r>
            <w:r>
              <w:rPr>
                <w:rFonts w:hint="eastAsia" w:ascii="仿宋_GB2312" w:hAnsi="仿宋_GB2312" w:eastAsia="仿宋_GB2312" w:cs="仿宋_GB2312"/>
                <w:color w:val="000000"/>
                <w:sz w:val="28"/>
                <w:szCs w:val="28"/>
                <w:lang w:val="zh-CN"/>
              </w:rPr>
              <w:t>：</w:t>
            </w:r>
            <w:r>
              <w:rPr>
                <w:rFonts w:hint="eastAsia" w:ascii="仿宋_GB2312" w:hAnsi="仿宋_GB2312" w:eastAsia="仿宋_GB2312" w:cs="仿宋_GB2312"/>
                <w:color w:val="000000"/>
                <w:sz w:val="28"/>
                <w:szCs w:val="28"/>
              </w:rPr>
              <w:t xml:space="preserve"> </w:t>
            </w:r>
            <w:bookmarkStart w:id="157" w:name="_GoBack"/>
            <w:bookmarkEnd w:id="15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货物名称</w:t>
            </w:r>
          </w:p>
        </w:tc>
        <w:tc>
          <w:tcPr>
            <w:tcW w:w="1561"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品    牌</w:t>
            </w:r>
          </w:p>
        </w:tc>
        <w:tc>
          <w:tcPr>
            <w:tcW w:w="1586" w:type="dxa"/>
            <w:gridSpan w:val="2"/>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c>
          <w:tcPr>
            <w:tcW w:w="1537"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规格、型号</w:t>
            </w:r>
          </w:p>
        </w:tc>
        <w:tc>
          <w:tcPr>
            <w:tcW w:w="1561" w:type="dxa"/>
            <w:tcBorders>
              <w:top w:val="single" w:color="auto" w:sz="4" w:space="0"/>
              <w:left w:val="single" w:color="auto" w:sz="4" w:space="0"/>
              <w:bottom w:val="single" w:color="auto" w:sz="4" w:space="0"/>
              <w:right w:val="single" w:color="auto" w:sz="4" w:space="0"/>
            </w:tcBorders>
            <w:vAlign w:val="center"/>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52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生产企业名称</w:t>
            </w:r>
          </w:p>
        </w:tc>
        <w:tc>
          <w:tcPr>
            <w:tcW w:w="3092" w:type="dxa"/>
            <w:gridSpan w:val="3"/>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586"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生产企业地址</w:t>
            </w:r>
          </w:p>
        </w:tc>
        <w:tc>
          <w:tcPr>
            <w:tcW w:w="3098"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序号</w:t>
            </w: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名称</w:t>
            </w: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数量</w:t>
            </w: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1008"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1185" w:type="dxa"/>
            <w:gridSpan w:val="2"/>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894" w:type="dxa"/>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c>
          <w:tcPr>
            <w:tcW w:w="6215" w:type="dxa"/>
            <w:gridSpan w:val="5"/>
            <w:tcBorders>
              <w:top w:val="single" w:color="auto" w:sz="4" w:space="0"/>
              <w:left w:val="single" w:color="auto" w:sz="4" w:space="0"/>
              <w:bottom w:val="single" w:color="auto" w:sz="4" w:space="0"/>
              <w:right w:val="single" w:color="auto" w:sz="4" w:space="0"/>
            </w:tcBorders>
          </w:tcPr>
          <w:p>
            <w:pPr>
              <w:widowControl/>
              <w:jc w:val="both"/>
              <w:rPr>
                <w:rFonts w:hint="eastAsia" w:ascii="仿宋_GB2312" w:hAnsi="仿宋_GB2312" w:eastAsia="仿宋_GB2312" w:cs="仿宋_GB2312"/>
                <w:sz w:val="28"/>
                <w:szCs w:val="28"/>
                <w:lang w:val="zh-CN"/>
              </w:rPr>
            </w:pPr>
          </w:p>
        </w:tc>
      </w:tr>
    </w:tbl>
    <w:p>
      <w:pPr>
        <w:widowControl/>
        <w:jc w:val="both"/>
        <w:rPr>
          <w:rFonts w:hint="eastAsia" w:ascii="仿宋_GB2312" w:hAnsi="仿宋_GB2312" w:eastAsia="仿宋_GB2312" w:cs="仿宋_GB2312"/>
          <w:sz w:val="28"/>
          <w:szCs w:val="28"/>
          <w:lang w:val="zh-CN"/>
        </w:rPr>
      </w:pPr>
      <w:r>
        <w:rPr>
          <w:rFonts w:hint="eastAsia" w:ascii="仿宋_GB2312" w:hAnsi="仿宋_GB2312" w:eastAsia="仿宋_GB2312" w:cs="仿宋_GB2312"/>
          <w:sz w:val="28"/>
          <w:szCs w:val="28"/>
          <w:lang w:val="zh-CN"/>
        </w:rPr>
        <w:t>说明：</w:t>
      </w:r>
    </w:p>
    <w:p>
      <w:pPr>
        <w:widowControl/>
        <w:ind w:firstLine="560" w:firstLineChars="200"/>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color w:val="000000"/>
          <w:sz w:val="28"/>
          <w:szCs w:val="28"/>
          <w:lang w:val="zh-CN"/>
        </w:rPr>
        <w:t>1、如果行数不够，请自行增加。</w:t>
      </w:r>
    </w:p>
    <w:p>
      <w:pPr>
        <w:widowControl/>
        <w:ind w:firstLine="562" w:firstLineChars="200"/>
        <w:jc w:val="both"/>
        <w:rPr>
          <w:rFonts w:hint="eastAsia" w:ascii="仿宋_GB2312" w:hAnsi="仿宋_GB2312" w:eastAsia="仿宋_GB2312" w:cs="仿宋_GB2312"/>
          <w:b/>
          <w:color w:val="000000"/>
          <w:sz w:val="28"/>
          <w:szCs w:val="28"/>
          <w:lang w:val="zh-CN"/>
        </w:rPr>
      </w:pPr>
      <w:r>
        <w:rPr>
          <w:rFonts w:hint="eastAsia" w:ascii="仿宋_GB2312" w:hAnsi="仿宋_GB2312" w:eastAsia="仿宋_GB2312" w:cs="仿宋_GB2312"/>
          <w:b/>
          <w:color w:val="000000"/>
          <w:sz w:val="28"/>
          <w:szCs w:val="28"/>
          <w:lang w:val="zh-CN"/>
        </w:rPr>
        <w:t>2、响应商应根据上表要求逐一说明投提供的货物名称、品牌、规格型号、产地、技术参数等，否则，按照不响应处理；</w:t>
      </w:r>
    </w:p>
    <w:p>
      <w:pPr>
        <w:widowControl/>
        <w:jc w:val="both"/>
        <w:rPr>
          <w:rFonts w:hint="eastAsia" w:ascii="仿宋_GB2312" w:hAnsi="仿宋_GB2312" w:eastAsia="仿宋_GB2312" w:cs="仿宋_GB2312"/>
          <w:color w:val="000000"/>
          <w:sz w:val="28"/>
          <w:szCs w:val="28"/>
          <w:lang w:val="zh-CN"/>
        </w:rPr>
      </w:pPr>
      <w:r>
        <w:rPr>
          <w:rFonts w:hint="eastAsia" w:ascii="仿宋_GB2312" w:hAnsi="仿宋_GB2312" w:eastAsia="仿宋_GB2312" w:cs="仿宋_GB2312"/>
          <w:sz w:val="28"/>
          <w:szCs w:val="28"/>
          <w:lang w:val="zh-CN"/>
        </w:rPr>
        <w:t>响应商名称：</w:t>
      </w:r>
      <w:r>
        <w:rPr>
          <w:rFonts w:hint="eastAsia" w:ascii="仿宋_GB2312" w:hAnsi="仿宋_GB2312" w:eastAsia="仿宋_GB2312" w:cs="仿宋_GB2312"/>
          <w:sz w:val="28"/>
          <w:szCs w:val="28"/>
          <w:u w:val="single"/>
          <w:lang w:val="zh-CN"/>
        </w:rPr>
        <w:t></w:t>
      </w:r>
      <w:r>
        <w:rPr>
          <w:rFonts w:hint="eastAsia" w:ascii="仿宋_GB2312" w:hAnsi="仿宋_GB2312" w:eastAsia="仿宋_GB2312" w:cs="仿宋_GB2312"/>
          <w:sz w:val="28"/>
          <w:szCs w:val="28"/>
          <w:lang w:val="zh-CN"/>
        </w:rPr>
        <w:t>（盖章）</w:t>
      </w:r>
    </w:p>
    <w:p>
      <w:pPr>
        <w:snapToGrid w:val="0"/>
        <w:spacing w:before="50" w:after="50"/>
        <w:jc w:val="both"/>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九、磋商文件要求及</w:t>
      </w:r>
      <w:r>
        <w:rPr>
          <w:rFonts w:hint="eastAsia" w:ascii="仿宋_GB2312" w:hAnsi="仿宋_GB2312" w:eastAsia="仿宋_GB2312" w:cs="仿宋_GB2312"/>
          <w:b/>
          <w:sz w:val="28"/>
          <w:szCs w:val="28"/>
          <w:lang w:eastAsia="zh-CN"/>
        </w:rPr>
        <w:t>响应商</w:t>
      </w:r>
      <w:r>
        <w:rPr>
          <w:rFonts w:hint="eastAsia" w:ascii="仿宋_GB2312" w:hAnsi="仿宋_GB2312" w:eastAsia="仿宋_GB2312" w:cs="仿宋_GB2312"/>
          <w:b/>
          <w:sz w:val="28"/>
          <w:szCs w:val="28"/>
        </w:rPr>
        <w:t>认为需要提供的证明文件及材料等（格式自拟）</w:t>
      </w:r>
    </w:p>
    <w:p>
      <w:pPr>
        <w:snapToGrid w:val="0"/>
        <w:spacing w:before="50" w:after="50"/>
        <w:jc w:val="both"/>
        <w:rPr>
          <w:rFonts w:hint="eastAsia" w:ascii="仿宋_GB2312" w:hAnsi="仿宋_GB2312" w:eastAsia="仿宋_GB2312" w:cs="仿宋_GB2312"/>
          <w:b/>
          <w:sz w:val="28"/>
          <w:szCs w:val="28"/>
        </w:rPr>
      </w:pPr>
    </w:p>
    <w:p>
      <w:pPr>
        <w:snapToGrid w:val="0"/>
        <w:spacing w:before="50" w:after="50"/>
        <w:jc w:val="both"/>
        <w:rPr>
          <w:rFonts w:hint="eastAsia" w:ascii="仿宋_GB2312" w:hAnsi="仿宋_GB2312" w:eastAsia="仿宋_GB2312" w:cs="仿宋_GB2312"/>
          <w:b/>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十、中小企业声明函</w:t>
      </w:r>
    </w:p>
    <w:p>
      <w:pPr>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本公司郑重声明，根据《政府采购促进中小企业发展暂行办法》（财库[2011]181号）的规定，本公司为______（请填写：小型、微型）企业。即，本公司同时满足以下条件：</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1、根据《工业和信息化部、国家统计局、国家发展和改革委员会、财政部关于印发中小企业划型标准规定的通知》（工信部联企业[2011]300号）规定的划分标准，本公司为______（请填写：小型、微型）企业。</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ind w:firstLine="42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本公司对上述声明的真实性负责。如有虚假，将依法承担相应责任。</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企业名称（公章）：</w:t>
      </w:r>
    </w:p>
    <w:p>
      <w:pPr>
        <w:ind w:firstLine="5320" w:firstLineChars="19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  期：   年   月   日</w:t>
      </w:r>
    </w:p>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p>
      <w:pPr>
        <w:widowControl/>
        <w:adjustRightInd/>
        <w:jc w:val="both"/>
        <w:textAlignment w:val="auto"/>
        <w:rPr>
          <w:rFonts w:hint="eastAsia" w:ascii="仿宋_GB2312" w:hAnsi="仿宋_GB2312" w:eastAsia="仿宋_GB2312" w:cs="仿宋_GB2312"/>
          <w:b/>
          <w:color w:val="000000"/>
          <w:sz w:val="28"/>
          <w:szCs w:val="28"/>
        </w:rPr>
      </w:pPr>
      <w:bookmarkStart w:id="153" w:name="_Toc465082424"/>
      <w:bookmarkStart w:id="154" w:name="_Toc264974219"/>
      <w:bookmarkStart w:id="155" w:name="_Toc351731637"/>
      <w:bookmarkStart w:id="156" w:name="_Toc464724913"/>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p>
    <w:p>
      <w:pPr>
        <w:widowControl/>
        <w:adjustRightInd/>
        <w:jc w:val="both"/>
        <w:textAlignment w:val="auto"/>
        <w:rPr>
          <w:rFonts w:hint="eastAsia" w:ascii="仿宋_GB2312" w:hAnsi="仿宋_GB2312" w:eastAsia="仿宋_GB2312" w:cs="仿宋_GB2312"/>
          <w:b/>
          <w:color w:val="000000"/>
          <w:sz w:val="28"/>
          <w:szCs w:val="28"/>
        </w:rPr>
      </w:pPr>
      <w:r>
        <w:rPr>
          <w:rFonts w:hint="eastAsia" w:ascii="仿宋_GB2312" w:hAnsi="仿宋_GB2312" w:eastAsia="仿宋_GB2312" w:cs="仿宋_GB2312"/>
          <w:b/>
          <w:color w:val="000000"/>
          <w:sz w:val="28"/>
          <w:szCs w:val="28"/>
        </w:rPr>
        <w:t>十一、无重大违法记录声明</w:t>
      </w:r>
    </w:p>
    <w:p>
      <w:pPr>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南京交通职业技术学院：</w:t>
      </w:r>
    </w:p>
    <w:p>
      <w:pPr>
        <w:jc w:val="both"/>
        <w:rPr>
          <w:rFonts w:hint="eastAsia" w:ascii="仿宋_GB2312" w:hAnsi="仿宋_GB2312" w:eastAsia="仿宋_GB2312" w:cs="仿宋_GB2312"/>
          <w:color w:val="000000"/>
          <w:sz w:val="28"/>
          <w:szCs w:val="28"/>
        </w:rPr>
      </w:pP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我单位</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名称）郑重声明：</w:t>
      </w:r>
    </w:p>
    <w:p>
      <w:pPr>
        <w:ind w:firstLine="560" w:firstLineChars="2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参加政府采购活动前3年内在经营活动中</w:t>
      </w:r>
      <w:r>
        <w:rPr>
          <w:rFonts w:hint="eastAsia" w:ascii="仿宋_GB2312" w:hAnsi="仿宋_GB2312" w:eastAsia="仿宋_GB2312" w:cs="仿宋_GB2312"/>
          <w:color w:val="000000"/>
          <w:sz w:val="28"/>
          <w:szCs w:val="28"/>
          <w:u w:val="single"/>
        </w:rPr>
        <w:t xml:space="preserve">        </w:t>
      </w:r>
      <w:r>
        <w:rPr>
          <w:rFonts w:hint="eastAsia" w:ascii="仿宋_GB2312" w:hAnsi="仿宋_GB2312" w:eastAsia="仿宋_GB2312" w:cs="仿宋_GB2312"/>
          <w:color w:val="000000"/>
          <w:sz w:val="28"/>
          <w:szCs w:val="28"/>
        </w:rPr>
        <w:t>（在下划线上如实填写：有或没有）重大违法记录。</w:t>
      </w:r>
    </w:p>
    <w:p>
      <w:pPr>
        <w:ind w:firstLine="420" w:firstLineChars="15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（说明：政府采购法第二十二条第一款第五项所称重大违法记录，是指</w:t>
      </w:r>
      <w:r>
        <w:rPr>
          <w:rFonts w:hint="eastAsia" w:ascii="仿宋_GB2312" w:hAnsi="仿宋_GB2312" w:eastAsia="仿宋_GB2312" w:cs="仿宋_GB2312"/>
          <w:color w:val="000000"/>
          <w:sz w:val="28"/>
          <w:szCs w:val="28"/>
          <w:lang w:eastAsia="zh-CN"/>
        </w:rPr>
        <w:t>响应商</w:t>
      </w:r>
      <w:r>
        <w:rPr>
          <w:rFonts w:hint="eastAsia" w:ascii="仿宋_GB2312" w:hAnsi="仿宋_GB2312" w:eastAsia="仿宋_GB2312" w:cs="仿宋_GB2312"/>
          <w:color w:val="000000"/>
          <w:sz w:val="28"/>
          <w:szCs w:val="28"/>
        </w:rPr>
        <w:t>因违法经营受到刑事处罚或者责令停产停业、吊销许可证或者执照、较大数额罚款等行政处罚。）</w:t>
      </w:r>
    </w:p>
    <w:p>
      <w:pPr>
        <w:jc w:val="both"/>
        <w:rPr>
          <w:rFonts w:hint="eastAsia" w:ascii="仿宋_GB2312" w:hAnsi="仿宋_GB2312" w:eastAsia="仿宋_GB2312" w:cs="仿宋_GB2312"/>
          <w:color w:val="000000"/>
          <w:sz w:val="28"/>
          <w:szCs w:val="28"/>
        </w:rPr>
      </w:pPr>
    </w:p>
    <w:p>
      <w:pPr>
        <w:jc w:val="both"/>
        <w:rPr>
          <w:rFonts w:hint="eastAsia" w:ascii="仿宋_GB2312" w:hAnsi="仿宋_GB2312" w:eastAsia="仿宋_GB2312" w:cs="仿宋_GB2312"/>
          <w:color w:val="000000"/>
          <w:sz w:val="28"/>
          <w:szCs w:val="28"/>
        </w:rPr>
      </w:pP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sz w:val="28"/>
          <w:szCs w:val="28"/>
        </w:rPr>
        <w:t>声明人：（公章）</w:t>
      </w:r>
    </w:p>
    <w:p>
      <w:pPr>
        <w:ind w:firstLine="4200" w:firstLineChars="1500"/>
        <w:jc w:val="both"/>
        <w:rPr>
          <w:rFonts w:hint="eastAsia" w:ascii="仿宋_GB2312" w:hAnsi="仿宋_GB2312" w:eastAsia="仿宋_GB2312" w:cs="仿宋_GB2312"/>
          <w:color w:val="000000"/>
          <w:sz w:val="28"/>
          <w:szCs w:val="28"/>
        </w:rPr>
      </w:pPr>
      <w:r>
        <w:rPr>
          <w:rFonts w:hint="eastAsia" w:ascii="仿宋_GB2312" w:hAnsi="仿宋_GB2312" w:eastAsia="仿宋_GB2312" w:cs="仿宋_GB2312"/>
          <w:sz w:val="28"/>
          <w:szCs w:val="28"/>
          <w:lang w:val="zh-CN"/>
        </w:rPr>
        <w:t>日期：   年   月   日</w:t>
      </w:r>
    </w:p>
    <w:p>
      <w:pPr>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十二、法人或者其他组织的营业执照等证明文件，自然人的身份证明</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（企业提供企业法人营业执照或营业执照，事业单位提供事业单位法人证书，非企业专业服务机构提供执业许可证，个体工商户提供个体工商户营业执照，自然人提供自然人身份证明）</w:t>
      </w:r>
    </w:p>
    <w:p>
      <w:pPr>
        <w:pStyle w:val="3"/>
        <w:keepNext w:val="0"/>
        <w:keepLines w:val="0"/>
        <w:numPr>
          <w:ilvl w:val="0"/>
          <w:numId w:val="0"/>
        </w:numPr>
        <w:spacing w:line="360" w:lineRule="auto"/>
        <w:jc w:val="both"/>
        <w:rPr>
          <w:rFonts w:hint="eastAsia" w:ascii="仿宋_GB2312" w:hAnsi="仿宋_GB2312" w:eastAsia="仿宋_GB2312" w:cs="仿宋_GB2312"/>
          <w:sz w:val="28"/>
          <w:szCs w:val="28"/>
        </w:rPr>
      </w:pPr>
      <w:r>
        <w:rPr>
          <w:rFonts w:hint="eastAsia" w:ascii="仿宋_GB2312" w:hAnsi="仿宋_GB2312" w:eastAsia="仿宋_GB2312" w:cs="仿宋_GB2312"/>
          <w:b w:val="0"/>
          <w:sz w:val="28"/>
          <w:szCs w:val="28"/>
        </w:rPr>
        <w:br w:type="page"/>
      </w:r>
      <w:bookmarkEnd w:id="153"/>
      <w:bookmarkEnd w:id="154"/>
      <w:bookmarkEnd w:id="155"/>
      <w:bookmarkEnd w:id="156"/>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十三、财务状况报告，依法缴纳税收和社会保障资金的相关材料格式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上一年度经审计的财务报告，包括“四表一注”，或投标截止时间前六个月内其基本开户银行出具的资信证明，或财政部门认可的政府采购专业担保机构出具的投标担保函。提供投标截止时间前六个月的缴纳增值税和企业所得税的凭据，或依法免税的证明文件。提供投标截止时间前六个月的缴纳社会保险的专用收据或社会保险缴纳清单，或不需要缴纳社会保障资金的证明文件）</w:t>
      </w: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widowControl/>
        <w:jc w:val="both"/>
        <w:rPr>
          <w:rFonts w:hint="eastAsia" w:ascii="仿宋_GB2312" w:hAnsi="仿宋_GB2312" w:eastAsia="仿宋_GB2312" w:cs="仿宋_GB2312"/>
          <w:b/>
          <w:bCs/>
          <w:sz w:val="28"/>
          <w:szCs w:val="28"/>
        </w:rPr>
      </w:pPr>
    </w:p>
    <w:p>
      <w:pPr>
        <w:jc w:val="both"/>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十四、履行合同所必需的设备和专业技术能力的证明材料格式</w:t>
      </w:r>
    </w:p>
    <w:p>
      <w:pPr>
        <w:jc w:val="both"/>
        <w:rPr>
          <w:rFonts w:hint="eastAsia" w:ascii="仿宋_GB2312" w:hAnsi="仿宋_GB2312" w:eastAsia="仿宋_GB2312" w:cs="仿宋_GB2312"/>
          <w:sz w:val="28"/>
          <w:szCs w:val="28"/>
        </w:rPr>
      </w:pPr>
    </w:p>
    <w:p>
      <w:pPr>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（提供履行合同所必需的设备的购置发票或其他证明材料，专业技术人员的职称证书和用工合同）</w:t>
      </w:r>
    </w:p>
    <w:p>
      <w:pPr>
        <w:jc w:val="both"/>
        <w:rPr>
          <w:rFonts w:hint="eastAsia" w:ascii="仿宋_GB2312" w:hAnsi="仿宋_GB2312" w:eastAsia="仿宋_GB2312" w:cs="仿宋_GB2312"/>
          <w:sz w:val="28"/>
          <w:szCs w:val="28"/>
        </w:rPr>
      </w:pPr>
    </w:p>
    <w:sectPr>
      <w:footerReference r:id="rId5" w:type="default"/>
      <w:footnotePr>
        <w:numFmt w:val="decimalEnclosedCircleChinese"/>
      </w:footnotePr>
      <w:pgSz w:w="11906" w:h="16838"/>
      <w:pgMar w:top="1417" w:right="1417" w:bottom="1417" w:left="1417" w:header="567" w:footer="567" w:gutter="0"/>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4"/>
      </w:rPr>
    </w:pPr>
    <w:r>
      <w:rPr>
        <w:rStyle w:val="14"/>
      </w:rPr>
      <w:fldChar w:fldCharType="begin"/>
    </w:r>
    <w:r>
      <w:rPr>
        <w:rStyle w:val="14"/>
      </w:rPr>
      <w:instrText xml:space="preserve">PAGE  </w:instrText>
    </w:r>
    <w:r>
      <w:rPr>
        <w:rStyle w:val="14"/>
      </w:rPr>
      <w:fldChar w:fldCharType="end"/>
    </w:r>
  </w:p>
  <w:p>
    <w:pPr>
      <w:pStyle w:val="8"/>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4"/>
      </w:rPr>
    </w:pPr>
    <w:r>
      <w:rPr>
        <w:rStyle w:val="14"/>
      </w:rPr>
      <w:fldChar w:fldCharType="begin"/>
    </w:r>
    <w:r>
      <w:rPr>
        <w:rStyle w:val="14"/>
      </w:rPr>
      <w:instrText xml:space="preserve">PAGE  </w:instrText>
    </w:r>
    <w:r>
      <w:rPr>
        <w:rStyle w:val="14"/>
      </w:rPr>
      <w:fldChar w:fldCharType="separate"/>
    </w:r>
    <w:r>
      <w:rPr>
        <w:rStyle w:val="14"/>
      </w:rPr>
      <w:t>19</w:t>
    </w:r>
    <w:r>
      <w:rPr>
        <w:rStyle w:val="14"/>
      </w:rPr>
      <w:fldChar w:fldCharType="end"/>
    </w:r>
  </w:p>
  <w:p>
    <w:pPr>
      <w:pStyle w:val="8"/>
      <w:ind w:right="360"/>
      <w:jc w:val="both"/>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B8A6FA3"/>
    <w:multiLevelType w:val="singleLevel"/>
    <w:tmpl w:val="8B8A6FA3"/>
    <w:lvl w:ilvl="0" w:tentative="0">
      <w:start w:val="1"/>
      <w:numFmt w:val="decimal"/>
      <w:lvlText w:val="%1)"/>
      <w:lvlJc w:val="left"/>
      <w:pPr>
        <w:ind w:left="425" w:hanging="425"/>
      </w:pPr>
      <w:rPr>
        <w:rFonts w:hint="default"/>
      </w:rPr>
    </w:lvl>
  </w:abstractNum>
  <w:abstractNum w:abstractNumId="1">
    <w:nsid w:val="99A01295"/>
    <w:multiLevelType w:val="singleLevel"/>
    <w:tmpl w:val="99A01295"/>
    <w:lvl w:ilvl="0" w:tentative="0">
      <w:start w:val="1"/>
      <w:numFmt w:val="decimal"/>
      <w:lvlText w:val="%1)"/>
      <w:lvlJc w:val="left"/>
      <w:pPr>
        <w:ind w:left="425" w:hanging="425"/>
      </w:pPr>
      <w:rPr>
        <w:rFonts w:hint="default"/>
      </w:rPr>
    </w:lvl>
  </w:abstractNum>
  <w:abstractNum w:abstractNumId="2">
    <w:nsid w:val="9CD3033A"/>
    <w:multiLevelType w:val="singleLevel"/>
    <w:tmpl w:val="9CD3033A"/>
    <w:lvl w:ilvl="0" w:tentative="0">
      <w:start w:val="1"/>
      <w:numFmt w:val="chineseCounting"/>
      <w:suff w:val="nothing"/>
      <w:lvlText w:val="%1、"/>
      <w:lvlJc w:val="left"/>
      <w:pPr>
        <w:ind w:left="0" w:firstLine="420"/>
      </w:pPr>
      <w:rPr>
        <w:rFonts w:hint="eastAsia"/>
      </w:rPr>
    </w:lvl>
  </w:abstractNum>
  <w:abstractNum w:abstractNumId="3">
    <w:nsid w:val="BBE29618"/>
    <w:multiLevelType w:val="singleLevel"/>
    <w:tmpl w:val="BBE29618"/>
    <w:lvl w:ilvl="0" w:tentative="0">
      <w:start w:val="1"/>
      <w:numFmt w:val="decimal"/>
      <w:lvlText w:val="%1)"/>
      <w:lvlJc w:val="left"/>
      <w:pPr>
        <w:ind w:left="425" w:hanging="425"/>
      </w:pPr>
      <w:rPr>
        <w:rFonts w:hint="default"/>
      </w:rPr>
    </w:lvl>
  </w:abstractNum>
  <w:abstractNum w:abstractNumId="4">
    <w:nsid w:val="C55638D6"/>
    <w:multiLevelType w:val="singleLevel"/>
    <w:tmpl w:val="C55638D6"/>
    <w:lvl w:ilvl="0" w:tentative="0">
      <w:start w:val="1"/>
      <w:numFmt w:val="decimal"/>
      <w:lvlText w:val="%1)"/>
      <w:lvlJc w:val="left"/>
      <w:pPr>
        <w:ind w:left="425" w:hanging="425"/>
      </w:pPr>
      <w:rPr>
        <w:rFonts w:hint="default"/>
      </w:rPr>
    </w:lvl>
  </w:abstractNum>
  <w:abstractNum w:abstractNumId="5">
    <w:nsid w:val="DC72FC44"/>
    <w:multiLevelType w:val="singleLevel"/>
    <w:tmpl w:val="DC72FC44"/>
    <w:lvl w:ilvl="0" w:tentative="0">
      <w:start w:val="1"/>
      <w:numFmt w:val="decimal"/>
      <w:lvlText w:val="%1)"/>
      <w:lvlJc w:val="left"/>
      <w:pPr>
        <w:ind w:left="425" w:hanging="425"/>
      </w:pPr>
      <w:rPr>
        <w:rFonts w:hint="default"/>
      </w:rPr>
    </w:lvl>
  </w:abstractNum>
  <w:abstractNum w:abstractNumId="6">
    <w:nsid w:val="DD526C37"/>
    <w:multiLevelType w:val="singleLevel"/>
    <w:tmpl w:val="DD526C37"/>
    <w:lvl w:ilvl="0" w:tentative="0">
      <w:start w:val="1"/>
      <w:numFmt w:val="decimal"/>
      <w:lvlText w:val="%1)"/>
      <w:lvlJc w:val="left"/>
      <w:pPr>
        <w:ind w:left="425" w:hanging="425"/>
      </w:pPr>
      <w:rPr>
        <w:rFonts w:hint="default"/>
      </w:rPr>
    </w:lvl>
  </w:abstractNum>
  <w:abstractNum w:abstractNumId="7">
    <w:nsid w:val="1A4A1723"/>
    <w:multiLevelType w:val="singleLevel"/>
    <w:tmpl w:val="1A4A1723"/>
    <w:lvl w:ilvl="0" w:tentative="0">
      <w:start w:val="1"/>
      <w:numFmt w:val="decimal"/>
      <w:suff w:val="nothing"/>
      <w:lvlText w:val="%1．"/>
      <w:lvlJc w:val="left"/>
      <w:pPr>
        <w:ind w:left="0" w:firstLine="400"/>
      </w:pPr>
      <w:rPr>
        <w:rFonts w:hint="default"/>
      </w:rPr>
    </w:lvl>
  </w:abstractNum>
  <w:abstractNum w:abstractNumId="8">
    <w:nsid w:val="237E4D61"/>
    <w:multiLevelType w:val="multilevel"/>
    <w:tmpl w:val="237E4D61"/>
    <w:lvl w:ilvl="0" w:tentative="0">
      <w:start w:val="1"/>
      <w:numFmt w:val="japaneseCounting"/>
      <w:lvlText w:val="第%1章"/>
      <w:lvlJc w:val="left"/>
      <w:pPr>
        <w:ind w:left="3681" w:hanging="420"/>
      </w:pPr>
      <w:rPr>
        <w:rFonts w:hint="eastAsia" w:ascii="黑体" w:eastAsia="黑体"/>
        <w:b w:val="0"/>
        <w:sz w:val="36"/>
        <w:lang w:val="en-US"/>
      </w:rPr>
    </w:lvl>
    <w:lvl w:ilvl="1" w:tentative="0">
      <w:start w:val="1"/>
      <w:numFmt w:val="decimal"/>
      <w:pStyle w:val="19"/>
      <w:isLgl/>
      <w:lvlText w:val="%1.%2"/>
      <w:lvlJc w:val="left"/>
      <w:pPr>
        <w:tabs>
          <w:tab w:val="left" w:pos="4232"/>
        </w:tabs>
        <w:ind w:left="3381" w:firstLine="0"/>
      </w:pPr>
      <w:rPr>
        <w:rFonts w:hAnsi="Times New Roman" w:cs="Times New Roman"/>
        <w:b w:val="0"/>
        <w:bCs w:val="0"/>
        <w:i w:val="0"/>
        <w:iCs w:val="0"/>
        <w:caps w:val="0"/>
        <w:smallCaps w:val="0"/>
        <w:strike w:val="0"/>
        <w:dstrike w:val="0"/>
        <w:vanish w:val="0"/>
        <w:spacing w:val="0"/>
        <w:kern w:val="0"/>
        <w:position w:val="0"/>
        <w:u w:val="none"/>
        <w:vertAlign w:val="baseline"/>
      </w:rPr>
    </w:lvl>
    <w:lvl w:ilvl="2" w:tentative="0">
      <w:start w:val="1"/>
      <w:numFmt w:val="decimal"/>
      <w:pStyle w:val="20"/>
      <w:isLgl/>
      <w:lvlText w:val="%1.%2.%3"/>
      <w:lvlJc w:val="left"/>
      <w:pPr>
        <w:tabs>
          <w:tab w:val="left" w:pos="4232"/>
        </w:tabs>
        <w:ind w:left="3381" w:firstLine="0"/>
      </w:pPr>
      <w:rPr>
        <w:rFonts w:hAnsi="Times New Roman" w:cs="Times New Roman"/>
        <w:b w:val="0"/>
        <w:bCs w:val="0"/>
        <w:i w:val="0"/>
        <w:iCs w:val="0"/>
        <w:caps w:val="0"/>
        <w:smallCaps w:val="0"/>
        <w:strike w:val="0"/>
        <w:dstrike w:val="0"/>
        <w:vanish w:val="0"/>
        <w:color w:val="000000"/>
        <w:spacing w:val="0"/>
        <w:kern w:val="0"/>
        <w:position w:val="0"/>
        <w:u w:val="none"/>
        <w:vertAlign w:val="baseline"/>
      </w:rPr>
    </w:lvl>
    <w:lvl w:ilvl="3" w:tentative="0">
      <w:start w:val="1"/>
      <w:numFmt w:val="decimal"/>
      <w:isLgl/>
      <w:lvlText w:val="%1.%2.%3.%4"/>
      <w:lvlJc w:val="left"/>
      <w:pPr>
        <w:tabs>
          <w:tab w:val="left" w:pos="4515"/>
        </w:tabs>
        <w:ind w:left="3381" w:firstLine="0"/>
      </w:pPr>
      <w:rPr>
        <w:rFonts w:hint="eastAsia"/>
      </w:rPr>
    </w:lvl>
    <w:lvl w:ilvl="4" w:tentative="0">
      <w:start w:val="1"/>
      <w:numFmt w:val="decimal"/>
      <w:lvlText w:val="%1.%2.%3.%4.%5"/>
      <w:lvlJc w:val="left"/>
      <w:pPr>
        <w:tabs>
          <w:tab w:val="left" w:pos="8231"/>
        </w:tabs>
        <w:ind w:left="8001" w:hanging="850"/>
      </w:pPr>
      <w:rPr>
        <w:rFonts w:hint="eastAsia"/>
      </w:rPr>
    </w:lvl>
    <w:lvl w:ilvl="5" w:tentative="0">
      <w:start w:val="1"/>
      <w:numFmt w:val="decimal"/>
      <w:lvlText w:val="%1.%2.%3.%4.%5.%6"/>
      <w:lvlJc w:val="left"/>
      <w:pPr>
        <w:tabs>
          <w:tab w:val="left" w:pos="9016"/>
        </w:tabs>
        <w:ind w:left="8710" w:hanging="1134"/>
      </w:pPr>
      <w:rPr>
        <w:rFonts w:hint="eastAsia"/>
      </w:rPr>
    </w:lvl>
    <w:lvl w:ilvl="6" w:tentative="0">
      <w:start w:val="1"/>
      <w:numFmt w:val="decimal"/>
      <w:lvlText w:val="%1.%2.%3.%4.%5.%6.%7"/>
      <w:lvlJc w:val="left"/>
      <w:pPr>
        <w:tabs>
          <w:tab w:val="left" w:pos="9801"/>
        </w:tabs>
        <w:ind w:left="9277" w:hanging="1276"/>
      </w:pPr>
      <w:rPr>
        <w:rFonts w:hint="eastAsia"/>
      </w:rPr>
    </w:lvl>
    <w:lvl w:ilvl="7" w:tentative="0">
      <w:start w:val="1"/>
      <w:numFmt w:val="decimal"/>
      <w:lvlText w:val="%1.%2.%3.%4.%5.%6.%7.%8"/>
      <w:lvlJc w:val="left"/>
      <w:pPr>
        <w:tabs>
          <w:tab w:val="left" w:pos="10226"/>
        </w:tabs>
        <w:ind w:left="9844" w:hanging="1418"/>
      </w:pPr>
      <w:rPr>
        <w:rFonts w:hint="eastAsia"/>
      </w:rPr>
    </w:lvl>
    <w:lvl w:ilvl="8" w:tentative="0">
      <w:start w:val="1"/>
      <w:numFmt w:val="decimal"/>
      <w:lvlText w:val="%1.%2.%3.%4.%5.%6.%7.%8.%9"/>
      <w:lvlJc w:val="left"/>
      <w:pPr>
        <w:tabs>
          <w:tab w:val="left" w:pos="11012"/>
        </w:tabs>
        <w:ind w:left="10552" w:hanging="1700"/>
      </w:pPr>
      <w:rPr>
        <w:rFonts w:hint="eastAsia"/>
      </w:rPr>
    </w:lvl>
  </w:abstractNum>
  <w:abstractNum w:abstractNumId="9">
    <w:nsid w:val="2A74005D"/>
    <w:multiLevelType w:val="singleLevel"/>
    <w:tmpl w:val="2A74005D"/>
    <w:lvl w:ilvl="0" w:tentative="0">
      <w:start w:val="1"/>
      <w:numFmt w:val="decimal"/>
      <w:lvlText w:val="%1)"/>
      <w:lvlJc w:val="left"/>
      <w:pPr>
        <w:ind w:left="425" w:hanging="425"/>
      </w:pPr>
      <w:rPr>
        <w:rFonts w:hint="default"/>
      </w:rPr>
    </w:lvl>
  </w:abstractNum>
  <w:abstractNum w:abstractNumId="10">
    <w:nsid w:val="37CECA31"/>
    <w:multiLevelType w:val="singleLevel"/>
    <w:tmpl w:val="37CECA31"/>
    <w:lvl w:ilvl="0" w:tentative="0">
      <w:start w:val="1"/>
      <w:numFmt w:val="decimal"/>
      <w:lvlText w:val="%1)"/>
      <w:lvlJc w:val="left"/>
      <w:pPr>
        <w:ind w:left="425" w:hanging="425"/>
      </w:pPr>
      <w:rPr>
        <w:rFonts w:hint="default"/>
      </w:rPr>
    </w:lvl>
  </w:abstractNum>
  <w:abstractNum w:abstractNumId="11">
    <w:nsid w:val="453B3942"/>
    <w:multiLevelType w:val="multilevel"/>
    <w:tmpl w:val="453B3942"/>
    <w:lvl w:ilvl="0" w:tentative="0">
      <w:start w:val="1"/>
      <w:numFmt w:val="decimal"/>
      <w:lvlText w:val="第%1章"/>
      <w:lvlJc w:val="left"/>
      <w:pPr>
        <w:tabs>
          <w:tab w:val="left" w:pos="851"/>
        </w:tabs>
        <w:ind w:left="0" w:firstLine="0"/>
      </w:pPr>
      <w:rPr>
        <w:rFonts w:hint="eastAsia"/>
      </w:rPr>
    </w:lvl>
    <w:lvl w:ilvl="1" w:tentative="0">
      <w:start w:val="1"/>
      <w:numFmt w:val="decimalZero"/>
      <w:pStyle w:val="3"/>
      <w:isLgl/>
      <w:lvlText w:val="节 %1.%2"/>
      <w:lvlJc w:val="left"/>
      <w:pPr>
        <w:tabs>
          <w:tab w:val="left" w:pos="720"/>
        </w:tabs>
        <w:ind w:left="0" w:firstLine="0"/>
      </w:pPr>
      <w:rPr>
        <w:rFonts w:hint="eastAsia"/>
      </w:rPr>
    </w:lvl>
    <w:lvl w:ilvl="2" w:tentative="0">
      <w:start w:val="1"/>
      <w:numFmt w:val="lowerLetter"/>
      <w:lvlText w:val="(%3)"/>
      <w:lvlJc w:val="left"/>
      <w:pPr>
        <w:tabs>
          <w:tab w:val="left" w:pos="720"/>
        </w:tabs>
        <w:ind w:left="720" w:hanging="432"/>
      </w:pPr>
      <w:rPr>
        <w:rFonts w:hint="eastAsia"/>
      </w:rPr>
    </w:lvl>
    <w:lvl w:ilvl="3" w:tentative="0">
      <w:start w:val="1"/>
      <w:numFmt w:val="lowerRoman"/>
      <w:lvlText w:val="(%4)"/>
      <w:lvlJc w:val="right"/>
      <w:pPr>
        <w:tabs>
          <w:tab w:val="left" w:pos="864"/>
        </w:tabs>
        <w:ind w:left="864" w:hanging="144"/>
      </w:pPr>
      <w:rPr>
        <w:rFonts w:hint="eastAsia"/>
      </w:rPr>
    </w:lvl>
    <w:lvl w:ilvl="4" w:tentative="0">
      <w:start w:val="1"/>
      <w:numFmt w:val="decimal"/>
      <w:lvlText w:val="%5)"/>
      <w:lvlJc w:val="left"/>
      <w:pPr>
        <w:tabs>
          <w:tab w:val="left" w:pos="1008"/>
        </w:tabs>
        <w:ind w:left="1008" w:hanging="432"/>
      </w:pPr>
      <w:rPr>
        <w:rFonts w:hint="eastAsia"/>
      </w:rPr>
    </w:lvl>
    <w:lvl w:ilvl="5" w:tentative="0">
      <w:start w:val="1"/>
      <w:numFmt w:val="lowerLetter"/>
      <w:lvlText w:val="%6)"/>
      <w:lvlJc w:val="left"/>
      <w:pPr>
        <w:tabs>
          <w:tab w:val="left" w:pos="1152"/>
        </w:tabs>
        <w:ind w:left="1152" w:hanging="432"/>
      </w:pPr>
      <w:rPr>
        <w:rFonts w:hint="eastAsia"/>
      </w:rPr>
    </w:lvl>
    <w:lvl w:ilvl="6" w:tentative="0">
      <w:start w:val="1"/>
      <w:numFmt w:val="lowerRoman"/>
      <w:lvlText w:val="%7)"/>
      <w:lvlJc w:val="right"/>
      <w:pPr>
        <w:tabs>
          <w:tab w:val="left" w:pos="1296"/>
        </w:tabs>
        <w:ind w:left="1296" w:hanging="288"/>
      </w:pPr>
      <w:rPr>
        <w:rFonts w:hint="eastAsia"/>
      </w:rPr>
    </w:lvl>
    <w:lvl w:ilvl="7" w:tentative="0">
      <w:start w:val="1"/>
      <w:numFmt w:val="lowerLetter"/>
      <w:lvlText w:val="%8."/>
      <w:lvlJc w:val="left"/>
      <w:pPr>
        <w:tabs>
          <w:tab w:val="left" w:pos="1440"/>
        </w:tabs>
        <w:ind w:left="1440" w:hanging="432"/>
      </w:pPr>
      <w:rPr>
        <w:rFonts w:hint="eastAsia"/>
      </w:rPr>
    </w:lvl>
    <w:lvl w:ilvl="8" w:tentative="0">
      <w:start w:val="1"/>
      <w:numFmt w:val="lowerRoman"/>
      <w:lvlText w:val="%9."/>
      <w:lvlJc w:val="right"/>
      <w:pPr>
        <w:tabs>
          <w:tab w:val="left" w:pos="1584"/>
        </w:tabs>
        <w:ind w:left="1584" w:hanging="144"/>
      </w:pPr>
      <w:rPr>
        <w:rFonts w:hint="eastAsia"/>
      </w:rPr>
    </w:lvl>
  </w:abstractNum>
  <w:abstractNum w:abstractNumId="12">
    <w:nsid w:val="57825F20"/>
    <w:multiLevelType w:val="singleLevel"/>
    <w:tmpl w:val="57825F20"/>
    <w:lvl w:ilvl="0" w:tentative="0">
      <w:start w:val="2"/>
      <w:numFmt w:val="decimal"/>
      <w:suff w:val="nothing"/>
      <w:lvlText w:val="%1、"/>
      <w:lvlJc w:val="left"/>
    </w:lvl>
  </w:abstractNum>
  <w:abstractNum w:abstractNumId="13">
    <w:nsid w:val="67E0F625"/>
    <w:multiLevelType w:val="singleLevel"/>
    <w:tmpl w:val="67E0F625"/>
    <w:lvl w:ilvl="0" w:tentative="0">
      <w:start w:val="1"/>
      <w:numFmt w:val="decimal"/>
      <w:suff w:val="nothing"/>
      <w:lvlText w:val="%1．"/>
      <w:lvlJc w:val="left"/>
      <w:pPr>
        <w:ind w:left="0" w:firstLine="400"/>
      </w:pPr>
      <w:rPr>
        <w:rFonts w:hint="default"/>
      </w:rPr>
    </w:lvl>
  </w:abstractNum>
  <w:abstractNum w:abstractNumId="14">
    <w:nsid w:val="7D6D9AE1"/>
    <w:multiLevelType w:val="singleLevel"/>
    <w:tmpl w:val="7D6D9AE1"/>
    <w:lvl w:ilvl="0" w:tentative="0">
      <w:start w:val="1"/>
      <w:numFmt w:val="decimal"/>
      <w:lvlText w:val="%1)"/>
      <w:lvlJc w:val="left"/>
      <w:pPr>
        <w:ind w:left="425" w:hanging="425"/>
      </w:pPr>
      <w:rPr>
        <w:rFonts w:hint="default"/>
      </w:rPr>
    </w:lvl>
  </w:abstractNum>
  <w:num w:numId="1">
    <w:abstractNumId w:val="11"/>
  </w:num>
  <w:num w:numId="2">
    <w:abstractNumId w:val="8"/>
  </w:num>
  <w:num w:numId="3">
    <w:abstractNumId w:val="2"/>
  </w:num>
  <w:num w:numId="4">
    <w:abstractNumId w:val="7"/>
  </w:num>
  <w:num w:numId="5">
    <w:abstractNumId w:val="13"/>
  </w:num>
  <w:num w:numId="6">
    <w:abstractNumId w:val="5"/>
  </w:num>
  <w:num w:numId="7">
    <w:abstractNumId w:val="10"/>
  </w:num>
  <w:num w:numId="8">
    <w:abstractNumId w:val="0"/>
  </w:num>
  <w:num w:numId="9">
    <w:abstractNumId w:val="4"/>
  </w:num>
  <w:num w:numId="10">
    <w:abstractNumId w:val="9"/>
  </w:num>
  <w:num w:numId="11">
    <w:abstractNumId w:val="6"/>
  </w:num>
  <w:num w:numId="12">
    <w:abstractNumId w:val="1"/>
  </w:num>
  <w:num w:numId="13">
    <w:abstractNumId w:val="14"/>
  </w:num>
  <w:num w:numId="14">
    <w:abstractNumId w:val="3"/>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20386C"/>
    <w:rsid w:val="00022C34"/>
    <w:rsid w:val="000605FC"/>
    <w:rsid w:val="000E14C8"/>
    <w:rsid w:val="001E04BD"/>
    <w:rsid w:val="002C25CB"/>
    <w:rsid w:val="003A26B1"/>
    <w:rsid w:val="003E68FA"/>
    <w:rsid w:val="00441C8C"/>
    <w:rsid w:val="00443124"/>
    <w:rsid w:val="00492E1B"/>
    <w:rsid w:val="006E7D1E"/>
    <w:rsid w:val="00881AD4"/>
    <w:rsid w:val="008C1953"/>
    <w:rsid w:val="00943F46"/>
    <w:rsid w:val="009514EC"/>
    <w:rsid w:val="00A1090C"/>
    <w:rsid w:val="00A21187"/>
    <w:rsid w:val="00A47883"/>
    <w:rsid w:val="00A9139B"/>
    <w:rsid w:val="00A92104"/>
    <w:rsid w:val="00B41E6C"/>
    <w:rsid w:val="00B77098"/>
    <w:rsid w:val="00C47474"/>
    <w:rsid w:val="00C86E8C"/>
    <w:rsid w:val="00D033BC"/>
    <w:rsid w:val="00ED0EFE"/>
    <w:rsid w:val="00F43CCF"/>
    <w:rsid w:val="00F6350D"/>
    <w:rsid w:val="00FC7119"/>
    <w:rsid w:val="05547EF2"/>
    <w:rsid w:val="055D3862"/>
    <w:rsid w:val="09803A10"/>
    <w:rsid w:val="0C8F07C6"/>
    <w:rsid w:val="0CFC6897"/>
    <w:rsid w:val="0D245CF3"/>
    <w:rsid w:val="0F2954C2"/>
    <w:rsid w:val="109817D1"/>
    <w:rsid w:val="12220DA2"/>
    <w:rsid w:val="15150FC3"/>
    <w:rsid w:val="18E67D5A"/>
    <w:rsid w:val="1B59145E"/>
    <w:rsid w:val="201C2A60"/>
    <w:rsid w:val="21365382"/>
    <w:rsid w:val="25A231E2"/>
    <w:rsid w:val="2A6470EC"/>
    <w:rsid w:val="2B473D9E"/>
    <w:rsid w:val="2E5A5C95"/>
    <w:rsid w:val="2F053432"/>
    <w:rsid w:val="2F903D6A"/>
    <w:rsid w:val="2FE3199B"/>
    <w:rsid w:val="30A86969"/>
    <w:rsid w:val="31225F10"/>
    <w:rsid w:val="329E0CB0"/>
    <w:rsid w:val="33932BE6"/>
    <w:rsid w:val="33BC1180"/>
    <w:rsid w:val="353848F1"/>
    <w:rsid w:val="3910217E"/>
    <w:rsid w:val="3A3003A1"/>
    <w:rsid w:val="3A676567"/>
    <w:rsid w:val="3D1B2A57"/>
    <w:rsid w:val="42006AC6"/>
    <w:rsid w:val="44FA448C"/>
    <w:rsid w:val="45EB7FB0"/>
    <w:rsid w:val="4720386C"/>
    <w:rsid w:val="48461846"/>
    <w:rsid w:val="497156C1"/>
    <w:rsid w:val="4A021A82"/>
    <w:rsid w:val="4A062164"/>
    <w:rsid w:val="4DDC786C"/>
    <w:rsid w:val="4E0E5237"/>
    <w:rsid w:val="4FF7030B"/>
    <w:rsid w:val="5020390E"/>
    <w:rsid w:val="50C14D82"/>
    <w:rsid w:val="54860917"/>
    <w:rsid w:val="555039D2"/>
    <w:rsid w:val="55570EFF"/>
    <w:rsid w:val="56F12796"/>
    <w:rsid w:val="57D8599B"/>
    <w:rsid w:val="58B03D21"/>
    <w:rsid w:val="593B3015"/>
    <w:rsid w:val="5B3311C3"/>
    <w:rsid w:val="63033838"/>
    <w:rsid w:val="63BF620D"/>
    <w:rsid w:val="6774251A"/>
    <w:rsid w:val="68C732CF"/>
    <w:rsid w:val="69644C01"/>
    <w:rsid w:val="6A237128"/>
    <w:rsid w:val="6C7F18D1"/>
    <w:rsid w:val="6C801FB3"/>
    <w:rsid w:val="6D771B7F"/>
    <w:rsid w:val="6E9F1E20"/>
    <w:rsid w:val="6F436C1E"/>
    <w:rsid w:val="711B0440"/>
    <w:rsid w:val="71AD019D"/>
    <w:rsid w:val="72BD0BF0"/>
    <w:rsid w:val="74DD557A"/>
    <w:rsid w:val="750D37D4"/>
    <w:rsid w:val="76872A59"/>
    <w:rsid w:val="76EC02AF"/>
    <w:rsid w:val="794246AB"/>
    <w:rsid w:val="7E1B5CB7"/>
    <w:rsid w:val="7E513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60" w:lineRule="auto"/>
      <w:jc w:val="both"/>
      <w:textAlignment w:val="baseline"/>
    </w:pPr>
    <w:rPr>
      <w:rFonts w:ascii="宋体" w:hAnsi="Times New Roman" w:eastAsia="仿宋" w:cs="Times New Roman"/>
      <w:sz w:val="28"/>
      <w:szCs w:val="21"/>
      <w:lang w:val="en-US" w:eastAsia="zh-CN" w:bidi="ar-SA"/>
    </w:rPr>
  </w:style>
  <w:style w:type="paragraph" w:styleId="2">
    <w:name w:val="heading 1"/>
    <w:basedOn w:val="1"/>
    <w:next w:val="1"/>
    <w:qFormat/>
    <w:uiPriority w:val="0"/>
    <w:pPr>
      <w:keepNext/>
      <w:keepLines/>
      <w:spacing w:before="340" w:after="330" w:line="578" w:lineRule="atLeast"/>
      <w:outlineLvl w:val="0"/>
    </w:pPr>
    <w:rPr>
      <w:b/>
      <w:bCs/>
      <w:kern w:val="44"/>
      <w:sz w:val="44"/>
      <w:szCs w:val="44"/>
    </w:rPr>
  </w:style>
  <w:style w:type="paragraph" w:styleId="3">
    <w:name w:val="heading 2"/>
    <w:basedOn w:val="1"/>
    <w:next w:val="1"/>
    <w:unhideWhenUsed/>
    <w:qFormat/>
    <w:uiPriority w:val="0"/>
    <w:pPr>
      <w:keepNext/>
      <w:keepLines/>
      <w:numPr>
        <w:ilvl w:val="1"/>
        <w:numId w:val="1"/>
      </w:numPr>
      <w:spacing w:before="260" w:after="260" w:line="416" w:lineRule="atLeast"/>
      <w:outlineLvl w:val="1"/>
    </w:pPr>
    <w:rPr>
      <w:rFonts w:ascii="Arial" w:hAnsi="Arial" w:eastAsia="黑体"/>
      <w:b/>
      <w:bCs/>
      <w:sz w:val="32"/>
      <w:szCs w:val="32"/>
    </w:rPr>
  </w:style>
  <w:style w:type="character" w:default="1" w:styleId="13">
    <w:name w:val="Default Paragraph Font"/>
    <w:semiHidden/>
    <w:unhideWhenUsed/>
    <w:qFormat/>
    <w:uiPriority w:val="1"/>
  </w:style>
  <w:style w:type="table" w:default="1" w:styleId="17">
    <w:name w:val="Normal Table"/>
    <w:semiHidden/>
    <w:unhideWhenUsed/>
    <w:qFormat/>
    <w:uiPriority w:val="99"/>
    <w:tblPr>
      <w:tblLayout w:type="fixed"/>
      <w:tblCellMar>
        <w:top w:w="0" w:type="dxa"/>
        <w:left w:w="108" w:type="dxa"/>
        <w:bottom w:w="0" w:type="dxa"/>
        <w:right w:w="108" w:type="dxa"/>
      </w:tblCellMar>
    </w:tblPr>
  </w:style>
  <w:style w:type="paragraph" w:styleId="4">
    <w:name w:val="Normal Indent"/>
    <w:basedOn w:val="1"/>
    <w:qFormat/>
    <w:uiPriority w:val="0"/>
    <w:pPr>
      <w:ind w:firstLine="420" w:firstLineChars="200"/>
    </w:pPr>
    <w:rPr>
      <w:sz w:val="24"/>
    </w:rPr>
  </w:style>
  <w:style w:type="paragraph" w:styleId="5">
    <w:name w:val="Body Text"/>
    <w:basedOn w:val="1"/>
    <w:qFormat/>
    <w:uiPriority w:val="0"/>
    <w:pPr>
      <w:spacing w:after="120"/>
    </w:pPr>
    <w:rPr>
      <w:sz w:val="24"/>
    </w:rPr>
  </w:style>
  <w:style w:type="paragraph" w:styleId="6">
    <w:name w:val="Plain Text"/>
    <w:basedOn w:val="1"/>
    <w:link w:val="26"/>
    <w:qFormat/>
    <w:uiPriority w:val="0"/>
    <w:rPr>
      <w:rFonts w:hAnsi="Courier New"/>
      <w:sz w:val="21"/>
    </w:rPr>
  </w:style>
  <w:style w:type="paragraph" w:styleId="7">
    <w:name w:val="Date"/>
    <w:basedOn w:val="1"/>
    <w:next w:val="1"/>
    <w:qFormat/>
    <w:uiPriority w:val="0"/>
    <w:rPr>
      <w:sz w:val="21"/>
    </w:rPr>
  </w:style>
  <w:style w:type="paragraph" w:styleId="8">
    <w:name w:val="footer"/>
    <w:basedOn w:val="1"/>
    <w:qFormat/>
    <w:uiPriority w:val="0"/>
    <w:pPr>
      <w:tabs>
        <w:tab w:val="center" w:pos="4153"/>
        <w:tab w:val="right" w:pos="8306"/>
      </w:tabs>
      <w:snapToGrid w:val="0"/>
      <w:spacing w:line="240" w:lineRule="atLeast"/>
      <w:jc w:val="left"/>
    </w:pPr>
    <w:rPr>
      <w:sz w:val="18"/>
      <w:szCs w:val="18"/>
    </w:rPr>
  </w:style>
  <w:style w:type="paragraph" w:styleId="9">
    <w:name w:val="header"/>
    <w:basedOn w:val="1"/>
    <w:link w:val="25"/>
    <w:qFormat/>
    <w:uiPriority w:val="0"/>
    <w:pPr>
      <w:pBdr>
        <w:bottom w:val="single" w:color="auto" w:sz="6" w:space="1"/>
      </w:pBdr>
      <w:tabs>
        <w:tab w:val="center" w:pos="4153"/>
        <w:tab w:val="right" w:pos="8306"/>
      </w:tabs>
      <w:snapToGrid w:val="0"/>
      <w:spacing w:line="240" w:lineRule="auto"/>
      <w:jc w:val="center"/>
    </w:pPr>
    <w:rPr>
      <w:sz w:val="18"/>
      <w:szCs w:val="18"/>
    </w:rPr>
  </w:style>
  <w:style w:type="paragraph" w:styleId="10">
    <w:name w:val="toc 1"/>
    <w:basedOn w:val="1"/>
    <w:next w:val="1"/>
    <w:qFormat/>
    <w:uiPriority w:val="0"/>
    <w:pPr>
      <w:spacing w:before="120" w:after="120"/>
      <w:jc w:val="left"/>
    </w:pPr>
    <w:rPr>
      <w:rFonts w:ascii="Calibri" w:hAnsi="Calibri"/>
      <w:b/>
      <w:bCs/>
      <w:caps/>
      <w:szCs w:val="20"/>
    </w:rPr>
  </w:style>
  <w:style w:type="paragraph" w:styleId="11">
    <w:name w:val="toc 2"/>
    <w:basedOn w:val="1"/>
    <w:next w:val="1"/>
    <w:qFormat/>
    <w:uiPriority w:val="0"/>
    <w:pPr>
      <w:ind w:left="240"/>
      <w:jc w:val="left"/>
    </w:pPr>
    <w:rPr>
      <w:rFonts w:ascii="Calibri" w:hAnsi="Calibri"/>
      <w:smallCaps/>
      <w:sz w:val="20"/>
      <w:szCs w:val="20"/>
    </w:rPr>
  </w:style>
  <w:style w:type="paragraph" w:styleId="12">
    <w:name w:val="Normal (Web)"/>
    <w:basedOn w:val="1"/>
    <w:qFormat/>
    <w:uiPriority w:val="0"/>
    <w:pPr>
      <w:widowControl/>
      <w:spacing w:before="100" w:beforeAutospacing="1" w:after="100" w:afterAutospacing="1"/>
      <w:jc w:val="left"/>
    </w:pPr>
    <w:rPr>
      <w:rFonts w:ascii="宋体" w:hAnsi="宋体" w:eastAsia="宋体" w:cs="宋体"/>
      <w:kern w:val="0"/>
      <w:sz w:val="24"/>
    </w:rPr>
  </w:style>
  <w:style w:type="character" w:styleId="14">
    <w:name w:val="page number"/>
    <w:basedOn w:val="13"/>
    <w:qFormat/>
    <w:uiPriority w:val="0"/>
  </w:style>
  <w:style w:type="character" w:styleId="15">
    <w:name w:val="Emphasis"/>
    <w:qFormat/>
    <w:uiPriority w:val="0"/>
    <w:rPr>
      <w:i/>
      <w:iCs/>
    </w:rPr>
  </w:style>
  <w:style w:type="character" w:styleId="16">
    <w:name w:val="Hyperlink"/>
    <w:basedOn w:val="13"/>
    <w:qFormat/>
    <w:uiPriority w:val="0"/>
    <w:rPr>
      <w:color w:val="3F88BF"/>
      <w:u w:val="none"/>
    </w:rPr>
  </w:style>
  <w:style w:type="paragraph" w:customStyle="1" w:styleId="18">
    <w:name w:val="普通正文"/>
    <w:basedOn w:val="1"/>
    <w:qFormat/>
    <w:uiPriority w:val="0"/>
    <w:pPr>
      <w:spacing w:before="120" w:after="120"/>
      <w:ind w:firstLine="480"/>
      <w:jc w:val="left"/>
    </w:pPr>
    <w:rPr>
      <w:rFonts w:ascii="Arial" w:hAnsi="Arial" w:eastAsia="宋体"/>
      <w:szCs w:val="24"/>
    </w:rPr>
  </w:style>
  <w:style w:type="paragraph" w:customStyle="1" w:styleId="19">
    <w:name w:val="正文 1.1"/>
    <w:basedOn w:val="1"/>
    <w:next w:val="20"/>
    <w:qFormat/>
    <w:uiPriority w:val="0"/>
    <w:pPr>
      <w:numPr>
        <w:ilvl w:val="1"/>
        <w:numId w:val="2"/>
      </w:numPr>
      <w:ind w:left="980" w:hanging="980" w:hangingChars="350"/>
      <w:outlineLvl w:val="1"/>
    </w:pPr>
    <w:rPr>
      <w:rFonts w:ascii="仿宋" w:hAnsi="仿宋"/>
      <w:b/>
    </w:rPr>
  </w:style>
  <w:style w:type="paragraph" w:customStyle="1" w:styleId="20">
    <w:name w:val="正文 1.1.1"/>
    <w:basedOn w:val="1"/>
    <w:next w:val="1"/>
    <w:qFormat/>
    <w:uiPriority w:val="0"/>
    <w:pPr>
      <w:numPr>
        <w:ilvl w:val="2"/>
        <w:numId w:val="2"/>
      </w:numPr>
      <w:outlineLvl w:val="2"/>
    </w:pPr>
    <w:rPr>
      <w:rFonts w:hAnsi="宋体" w:eastAsia="宋体"/>
      <w:color w:val="FF0000"/>
    </w:rPr>
  </w:style>
  <w:style w:type="paragraph" w:customStyle="1" w:styleId="21">
    <w:name w:val="正文空2格  1."/>
    <w:basedOn w:val="1"/>
    <w:qFormat/>
    <w:uiPriority w:val="0"/>
    <w:pPr>
      <w:ind w:firstLine="480" w:firstLineChars="200"/>
    </w:pPr>
    <w:rPr>
      <w:rFonts w:cs="宋体"/>
      <w:szCs w:val="20"/>
    </w:rPr>
  </w:style>
  <w:style w:type="character" w:customStyle="1" w:styleId="22">
    <w:name w:val="正文 第五章 中间"/>
    <w:qFormat/>
    <w:uiPriority w:val="0"/>
    <w:rPr>
      <w:b/>
      <w:bCs/>
      <w:color w:val="000000"/>
      <w:sz w:val="32"/>
    </w:rPr>
  </w:style>
  <w:style w:type="paragraph" w:customStyle="1" w:styleId="23">
    <w:name w:val="列出段落1"/>
    <w:basedOn w:val="1"/>
    <w:unhideWhenUsed/>
    <w:qFormat/>
    <w:uiPriority w:val="99"/>
    <w:pPr>
      <w:ind w:firstLine="420" w:firstLineChars="200"/>
    </w:pPr>
  </w:style>
  <w:style w:type="paragraph" w:customStyle="1" w:styleId="24">
    <w:name w:val="reader-word-layer"/>
    <w:basedOn w:val="1"/>
    <w:qFormat/>
    <w:uiPriority w:val="0"/>
    <w:pPr>
      <w:widowControl/>
      <w:spacing w:before="100" w:beforeAutospacing="1" w:after="100" w:afterAutospacing="1"/>
      <w:jc w:val="left"/>
    </w:pPr>
    <w:rPr>
      <w:rFonts w:hAnsi="宋体" w:cs="宋体"/>
      <w:sz w:val="24"/>
    </w:rPr>
  </w:style>
  <w:style w:type="character" w:customStyle="1" w:styleId="25">
    <w:name w:val="页眉 Char"/>
    <w:basedOn w:val="13"/>
    <w:link w:val="9"/>
    <w:qFormat/>
    <w:uiPriority w:val="0"/>
    <w:rPr>
      <w:rFonts w:ascii="宋体" w:eastAsia="仿宋"/>
      <w:sz w:val="18"/>
      <w:szCs w:val="18"/>
    </w:rPr>
  </w:style>
  <w:style w:type="character" w:customStyle="1" w:styleId="26">
    <w:name w:val="纯文本 Char"/>
    <w:basedOn w:val="13"/>
    <w:link w:val="6"/>
    <w:qFormat/>
    <w:uiPriority w:val="0"/>
    <w:rPr>
      <w:rFonts w:ascii="宋体" w:hAnsi="Courier New" w:eastAsia="仿宋"/>
      <w:sz w:val="21"/>
      <w:szCs w:val="21"/>
    </w:rPr>
  </w:style>
  <w:style w:type="paragraph" w:customStyle="1" w:styleId="27">
    <w:name w:val="p15"/>
    <w:basedOn w:val="1"/>
    <w:qFormat/>
    <w:uiPriority w:val="0"/>
    <w:pPr>
      <w:widowControl/>
    </w:pPr>
  </w:style>
  <w:style w:type="paragraph" w:customStyle="1" w:styleId="28">
    <w:name w:val="p0"/>
    <w:basedOn w:val="1"/>
    <w:qFormat/>
    <w:uiPriority w:val="0"/>
    <w:pPr>
      <w:widowControl/>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38</Pages>
  <Words>3302</Words>
  <Characters>18826</Characters>
  <Lines>156</Lines>
  <Paragraphs>44</Paragraphs>
  <TotalTime>2</TotalTime>
  <ScaleCrop>false</ScaleCrop>
  <LinksUpToDate>false</LinksUpToDate>
  <CharactersWithSpaces>22084</CharactersWithSpaces>
  <Application>WPS Office_10.1.0.7468_F1E327BC-269C-435d-A152-05C5408002CA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2017-07-10T08:35:00Z</dcterms:created>
  <dc:creator>汪惠子</dc:creator>
  <cp:lastModifiedBy>lsz0554163com</cp:lastModifiedBy>
  <cp:lastPrinted>2018-05-25T00:42:00Z</cp:lastPrinted>
  <dcterms:modified xsi:type="dcterms:W3CDTF">2018-07-24T07:33:10Z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