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52"/>
          <w:szCs w:val="52"/>
        </w:rPr>
      </w:pPr>
      <w:bookmarkStart w:id="0" w:name="_Toc341988481"/>
      <w:bookmarkStart w:id="1" w:name="_Toc342241484"/>
      <w:bookmarkStart w:id="2" w:name="_Toc342252860"/>
      <w:bookmarkStart w:id="3" w:name="_Toc337622980"/>
      <w:bookmarkStart w:id="4" w:name="_Toc341993786"/>
      <w:bookmarkStart w:id="5" w:name="_Toc341993112"/>
      <w:bookmarkStart w:id="6" w:name="_Toc337620797"/>
      <w:bookmarkStart w:id="7" w:name="_Toc341992627"/>
      <w:bookmarkStart w:id="8" w:name="_Toc341992707"/>
      <w:bookmarkStart w:id="9" w:name="_Toc341991041"/>
      <w:r>
        <w:rPr>
          <w:rFonts w:hint="eastAsia" w:asciiTheme="minorEastAsia" w:hAnsiTheme="minorEastAsia" w:eastAsiaTheme="minorEastAsia"/>
          <w:b/>
          <w:bCs/>
          <w:sz w:val="52"/>
          <w:szCs w:val="52"/>
        </w:rPr>
        <w:t>南京交通职业技术学院</w:t>
      </w:r>
      <w:r>
        <w:rPr>
          <w:rFonts w:hint="eastAsia" w:hAnsi="宋体" w:eastAsia="宋体"/>
          <w:b/>
          <w:bCs/>
          <w:sz w:val="52"/>
          <w:szCs w:val="52"/>
        </w:rPr>
        <w:t>EF楼学生宿舍阳台栏杆更换工程</w:t>
      </w:r>
      <w:r>
        <w:rPr>
          <w:rFonts w:hint="eastAsia" w:asciiTheme="minorEastAsia" w:hAnsiTheme="minorEastAsia" w:eastAsiaTheme="minorEastAsia"/>
          <w:b/>
          <w:bCs/>
          <w:sz w:val="52"/>
          <w:szCs w:val="52"/>
        </w:rPr>
        <w:t>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8"/>
        <w:ind w:firstLine="0"/>
        <w:jc w:val="center"/>
        <w:rPr>
          <w:rFonts w:asciiTheme="minorEastAsia" w:hAnsiTheme="minorEastAsia" w:eastAsiaTheme="minorEastAsia"/>
          <w:b/>
          <w:bCs/>
          <w:sz w:val="36"/>
          <w:szCs w:val="36"/>
        </w:rPr>
      </w:pPr>
    </w:p>
    <w:p>
      <w:pPr>
        <w:pStyle w:val="18"/>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采购编号：JY2018111</w:t>
      </w: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8"/>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8"/>
        <w:spacing w:before="0" w:after="0"/>
        <w:ind w:firstLine="0"/>
        <w:jc w:val="center"/>
        <w:rPr>
          <w:rFonts w:asciiTheme="minorEastAsia" w:hAnsiTheme="minorEastAsia" w:eastAsiaTheme="minorEastAsia"/>
          <w:b/>
          <w:bCs/>
          <w:sz w:val="36"/>
          <w:szCs w:val="36"/>
          <w:lang w:val="zh-CN"/>
        </w:rPr>
      </w:pPr>
    </w:p>
    <w:p>
      <w:pPr>
        <w:pStyle w:val="18"/>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十</w:t>
      </w:r>
      <w:r>
        <w:rPr>
          <w:rFonts w:hint="eastAsia" w:asciiTheme="minorEastAsia" w:hAnsiTheme="minorEastAsia" w:eastAsiaTheme="minorEastAsia"/>
          <w:b/>
          <w:bCs/>
          <w:sz w:val="36"/>
          <w:szCs w:val="36"/>
          <w:lang w:eastAsia="zh-CN"/>
        </w:rPr>
        <w:t>二</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403986986"/>
      <w:bookmarkStart w:id="12" w:name="_Toc523127445"/>
      <w:bookmarkStart w:id="13" w:name="_Toc403987193"/>
      <w:bookmarkStart w:id="14" w:name="_Toc120614210"/>
      <w:bookmarkStart w:id="15" w:name="_Toc479757206"/>
      <w:bookmarkStart w:id="16" w:name="_Toc20823272"/>
      <w:bookmarkStart w:id="17" w:name="_Toc16938516"/>
      <w:bookmarkStart w:id="18" w:name="_Toc513029200"/>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0"/>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0"/>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0"/>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13</w:t>
      </w:r>
      <w:r>
        <w:fldChar w:fldCharType="end"/>
      </w:r>
      <w:r>
        <w:fldChar w:fldCharType="end"/>
      </w:r>
    </w:p>
    <w:p>
      <w:pPr>
        <w:pStyle w:val="10"/>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15</w:t>
      </w:r>
      <w:r>
        <w:fldChar w:fldCharType="end"/>
      </w:r>
      <w:r>
        <w:fldChar w:fldCharType="end"/>
      </w:r>
    </w:p>
    <w:p>
      <w:pPr>
        <w:pStyle w:val="10"/>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17</w:t>
      </w:r>
      <w:r>
        <w:fldChar w:fldCharType="end"/>
      </w:r>
      <w: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10131"/>
      <w:bookmarkStart w:id="20" w:name="OLE_LINK2"/>
      <w:bookmarkStart w:id="21" w:name="_Toc120614281"/>
      <w:bookmarkStart w:id="22" w:name="_Toc26554093"/>
      <w:bookmarkStart w:id="23" w:name="_Toc49090575"/>
      <w:bookmarkStart w:id="24" w:name="OLE_LINK1"/>
      <w:bookmarkStart w:id="25" w:name="_Toc462564139"/>
      <w:bookmarkStart w:id="26" w:name="_Toc479757211"/>
      <w:bookmarkStart w:id="27" w:name="_Toc341993114"/>
      <w:bookmarkStart w:id="28" w:name="_Toc341992630"/>
      <w:bookmarkStart w:id="29" w:name="_Toc373781378"/>
      <w:bookmarkStart w:id="30" w:name="_Toc366517151"/>
      <w:bookmarkStart w:id="31" w:name="_Toc342374716"/>
      <w:bookmarkStart w:id="32" w:name="_Toc337622251"/>
      <w:bookmarkStart w:id="33" w:name="_Toc403560410"/>
      <w:bookmarkStart w:id="34" w:name="_Toc337584644"/>
      <w:bookmarkStart w:id="35" w:name="_Toc342252863"/>
      <w:bookmarkStart w:id="36" w:name="_Ref352791871"/>
      <w:bookmarkStart w:id="37" w:name="_Toc337622590"/>
      <w:bookmarkStart w:id="38" w:name="_Toc337622278"/>
      <w:bookmarkStart w:id="39" w:name="_Toc342241487"/>
      <w:bookmarkStart w:id="40" w:name="_Toc341991044"/>
      <w:bookmarkStart w:id="41" w:name="_Toc337620620"/>
      <w:bookmarkStart w:id="42" w:name="_Toc337622983"/>
      <w:bookmarkStart w:id="43" w:name="_Toc403401434"/>
      <w:bookmarkStart w:id="44" w:name="_Toc365619242"/>
      <w:bookmarkStart w:id="45" w:name="_Toc337622372"/>
      <w:bookmarkStart w:id="46" w:name="_Toc341988484"/>
      <w:bookmarkStart w:id="47" w:name="_Toc337622790"/>
      <w:bookmarkStart w:id="48" w:name="_Toc337622640"/>
      <w:bookmarkStart w:id="49" w:name="_Toc341992710"/>
      <w:bookmarkStart w:id="50" w:name="_Toc341993788"/>
      <w:bookmarkStart w:id="51" w:name="_Toc337622690"/>
      <w:bookmarkStart w:id="52" w:name="_Toc337620800"/>
      <w:bookmarkStart w:id="53" w:name="_Toc337620692"/>
      <w:bookmarkStart w:id="54" w:name="_Toc342558384"/>
      <w:bookmarkStart w:id="55" w:name="_Toc337584958"/>
      <w:bookmarkStart w:id="56" w:name="_Toc342497332"/>
      <w:bookmarkStart w:id="57" w:name="_Toc337584877"/>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其EF楼学生宿舍阳台栏杆更换工程</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19"/>
        <w:numPr>
          <w:ilvl w:val="0"/>
          <w:numId w:val="0"/>
        </w:numPr>
        <w:ind w:firstLine="420" w:firstLineChars="200"/>
        <w:outlineLvl w:val="9"/>
        <w:rPr>
          <w:rFonts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项目名称：南京交通职业技术学院EF楼学生宿舍阳台栏杆更换工程项目</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JY2018111</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19"/>
        <w:numPr>
          <w:ilvl w:val="0"/>
          <w:numId w:val="0"/>
        </w:numPr>
        <w:ind w:firstLine="420" w:firstLineChars="200"/>
        <w:outlineLvl w:val="9"/>
        <w:rPr>
          <w:rFonts w:asciiTheme="minorEastAsia" w:hAnsiTheme="minorEastAsia" w:eastAsiaTheme="minorEastAsia" w:cstheme="minorEastAsia"/>
          <w:b w:val="0"/>
          <w:bCs/>
          <w:kern w:val="2"/>
          <w:sz w:val="21"/>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南京交通职业技术学院EF楼学生宿舍阳台栏杆更换工程项目</w:t>
      </w:r>
    </w:p>
    <w:p>
      <w:pPr>
        <w:widowControl/>
        <w:shd w:val="clear" w:color="auto" w:fill="FFFFFF"/>
        <w:rPr>
          <w:rFonts w:hAnsi="宋体" w:eastAsia="宋体" w:cs="宋体"/>
          <w:spacing w:val="9"/>
          <w:sz w:val="21"/>
        </w:rPr>
      </w:pP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招标项目的技术规格、要求、数量和样品提交等详见第五章。</w:t>
      </w:r>
    </w:p>
    <w:p>
      <w:pPr>
        <w:pStyle w:val="19"/>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2017-2019年度江苏省省级机关、事业单位限额内工程定点采购分包一、分包二成交单位。</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1"/>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凡有意参加的响应商，请于2018年1</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12</w:t>
      </w:r>
      <w:r>
        <w:rPr>
          <w:rFonts w:hint="eastAsia" w:asciiTheme="minorEastAsia" w:hAnsiTheme="minorEastAsia" w:eastAsiaTheme="minorEastAsia" w:cstheme="minorEastAsia"/>
          <w:bCs/>
          <w:sz w:val="21"/>
          <w:szCs w:val="21"/>
        </w:rPr>
        <w:t>日前将确认函发送至邮箱cgb@njitt.edu.cn，采购办不接受没有报名确认的响应文件。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（三）响应文件接收时间：2018年1</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14</w:t>
      </w:r>
      <w:r>
        <w:rPr>
          <w:rFonts w:hint="eastAsia" w:asciiTheme="minorEastAsia" w:hAnsiTheme="minorEastAsia" w:eastAsiaTheme="minorEastAsia" w:cstheme="minorEastAsia"/>
          <w:bCs/>
          <w:sz w:val="21"/>
          <w:szCs w:val="21"/>
        </w:rPr>
        <w:t xml:space="preserve">日 </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（四）响应文件递交截止时间及开启时间：2018年1</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14</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14</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1"/>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9"/>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六、磋商保证金及磋商文件工本费</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（一）磋商文件费：贰佰圆整（评审前交至弘毅楼217室，售出不退），不缴纳费用者，视为不响应磋商文件的要求。</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（二）磋商保证金：壹万</w:t>
      </w:r>
      <w:r>
        <w:rPr>
          <w:rFonts w:hint="eastAsia" w:asciiTheme="minorEastAsia" w:hAnsiTheme="minorEastAsia" w:eastAsiaTheme="minorEastAsia" w:cstheme="minorEastAsia"/>
          <w:b w:val="0"/>
          <w:bCs/>
          <w:sz w:val="21"/>
          <w:lang w:eastAsia="zh-CN"/>
        </w:rPr>
        <w:t>玖</w:t>
      </w:r>
      <w:bookmarkStart w:id="94" w:name="_GoBack"/>
      <w:bookmarkEnd w:id="94"/>
      <w:r>
        <w:rPr>
          <w:rFonts w:hint="eastAsia" w:asciiTheme="minorEastAsia" w:hAnsiTheme="minorEastAsia" w:eastAsiaTheme="minorEastAsia" w:cstheme="minorEastAsia"/>
          <w:b w:val="0"/>
          <w:bCs/>
          <w:sz w:val="21"/>
        </w:rPr>
        <w:t>仟圆整 (仅接受本票及汇票形式，不接受现金及其他形式)， 成交后转为履约保证金（履约保证金不足部分按合同规定金额补齐）。（本票或汇票不需要学校帐号）</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现场自行勘探。 采购单位联系人：张老师     联系电话：025—86115729</w:t>
      </w:r>
    </w:p>
    <w:p>
      <w:pPr>
        <w:pStyle w:val="20"/>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八、工程总体要求</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 xml:space="preserve">竞争性磋商文件编制：刘老师（女）          联系电话：025—86115873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1"/>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214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20823309"/>
      <w:bookmarkStart w:id="67" w:name="_Toc16938553"/>
      <w:bookmarkStart w:id="68" w:name="_Toc513029237"/>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79" w:name="_Toc14657"/>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1155"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5"/>
          <w:rFonts w:hint="eastAsia" w:cs="Arial" w:asciiTheme="minorEastAsia" w:hAnsiTheme="minorEastAsia" w:eastAsiaTheme="minorEastAsia"/>
          <w:i w:val="0"/>
          <w:iCs w:val="0"/>
          <w:sz w:val="21"/>
          <w:shd w:val="clear" w:color="auto" w:fill="FFFFFF"/>
        </w:rPr>
        <w:t>采购人</w:t>
      </w:r>
      <w:r>
        <w:rPr>
          <w:rStyle w:val="15"/>
          <w:rFonts w:cs="Arial" w:asciiTheme="minorEastAsia" w:hAnsiTheme="minorEastAsia" w:eastAsiaTheme="minorEastAsia"/>
          <w:i w:val="0"/>
          <w:iCs w:val="0"/>
          <w:sz w:val="21"/>
          <w:shd w:val="clear" w:color="auto" w:fill="FFFFFF"/>
        </w:rPr>
        <w:t>有权在</w:t>
      </w:r>
      <w:r>
        <w:rPr>
          <w:rStyle w:val="15"/>
          <w:rFonts w:hint="eastAsia" w:cs="Arial" w:asciiTheme="minorEastAsia" w:hAnsiTheme="minorEastAsia" w:eastAsiaTheme="minorEastAsia"/>
          <w:i w:val="0"/>
          <w:iCs w:val="0"/>
          <w:sz w:val="21"/>
          <w:shd w:val="clear" w:color="auto" w:fill="FFFFFF"/>
        </w:rPr>
        <w:t>磋商</w:t>
      </w:r>
      <w:r>
        <w:rPr>
          <w:rStyle w:val="15"/>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80" w:name="_Toc216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0"/>
    </w:p>
    <w:p>
      <w:pPr>
        <w:spacing w:line="500" w:lineRule="exact"/>
        <w:rPr>
          <w:rFonts w:hAnsi="宋体"/>
          <w:b/>
          <w:szCs w:val="28"/>
        </w:rPr>
      </w:pPr>
      <w:bookmarkStart w:id="81"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开工日期：2018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竣工工期：2018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合同订立时间：2018年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2"/>
        <w:keepNext w:val="0"/>
        <w:keepLines w:val="0"/>
        <w:jc w:val="center"/>
        <w:rPr>
          <w:rFonts w:asciiTheme="minorEastAsia" w:hAnsiTheme="minorEastAsia" w:eastAsiaTheme="minorEastAsia" w:cstheme="majorEastAsia"/>
          <w:sz w:val="24"/>
          <w:szCs w:val="24"/>
        </w:rPr>
      </w:pPr>
      <w:bookmarkStart w:id="82" w:name="_Toc16941"/>
      <w:r>
        <w:rPr>
          <w:rFonts w:hint="eastAsia" w:asciiTheme="minorEastAsia" w:hAnsiTheme="minorEastAsia" w:eastAsiaTheme="minorEastAsia" w:cstheme="majorEastAsia"/>
          <w:sz w:val="24"/>
          <w:szCs w:val="24"/>
        </w:rPr>
        <w:t xml:space="preserve">第五章  </w:t>
      </w:r>
      <w:bookmarkEnd w:id="81"/>
      <w:r>
        <w:rPr>
          <w:rFonts w:hint="eastAsia" w:asciiTheme="minorEastAsia" w:hAnsiTheme="minorEastAsia" w:eastAsiaTheme="minorEastAsia" w:cstheme="majorEastAsia"/>
          <w:sz w:val="24"/>
          <w:szCs w:val="24"/>
        </w:rPr>
        <w:t>采购项目的技术规格、要求和数量等</w:t>
      </w:r>
      <w:bookmarkEnd w:id="82"/>
    </w:p>
    <w:bookmarkEnd w:id="20"/>
    <w:bookmarkEnd w:id="21"/>
    <w:bookmarkEnd w:id="22"/>
    <w:bookmarkEnd w:id="23"/>
    <w:bookmarkEnd w:id="24"/>
    <w:bookmarkEnd w:id="64"/>
    <w:p>
      <w:pPr>
        <w:widowControl/>
        <w:rPr>
          <w:rFonts w:asciiTheme="minorEastAsia" w:hAnsiTheme="minorEastAsia" w:eastAsiaTheme="minorEastAsia"/>
          <w:bCs/>
          <w:sz w:val="24"/>
          <w:szCs w:val="24"/>
        </w:rPr>
      </w:pPr>
      <w:bookmarkStart w:id="83" w:name="_Toc403987220"/>
      <w:r>
        <w:rPr>
          <w:rFonts w:hint="eastAsia" w:asciiTheme="minorEastAsia" w:hAnsiTheme="minorEastAsia" w:eastAsiaTheme="minorEastAsia"/>
          <w:bCs/>
          <w:sz w:val="24"/>
          <w:szCs w:val="24"/>
        </w:rPr>
        <w:t>一、项目名称：</w:t>
      </w:r>
      <w:r>
        <w:rPr>
          <w:rFonts w:hint="eastAsia" w:cs="宋体" w:asciiTheme="minorEastAsia" w:hAnsiTheme="minorEastAsia" w:eastAsiaTheme="minorEastAsia"/>
          <w:color w:val="000000"/>
          <w:sz w:val="24"/>
          <w:szCs w:val="24"/>
        </w:rPr>
        <w:t>南京交通职业技术学院EF楼学生宿舍阳台栏杆更换工程</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二、项目控制价：人民币99.54万。</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三、项目内容：</w:t>
      </w:r>
      <w:r>
        <w:rPr>
          <w:rFonts w:hint="eastAsia" w:cs="宋体" w:asciiTheme="minorEastAsia" w:hAnsiTheme="minorEastAsia" w:eastAsiaTheme="minorEastAsia"/>
          <w:color w:val="000000"/>
          <w:sz w:val="24"/>
          <w:szCs w:val="24"/>
        </w:rPr>
        <w:t>2018年度维修改造项目12：EF楼学生宿舍阳台栏杆更换工程</w:t>
      </w:r>
      <w:r>
        <w:rPr>
          <w:rFonts w:hint="eastAsia" w:asciiTheme="minorEastAsia" w:hAnsiTheme="minorEastAsia" w:eastAsiaTheme="minorEastAsia"/>
          <w:bCs/>
          <w:sz w:val="24"/>
          <w:szCs w:val="24"/>
        </w:rPr>
        <w:t>（清单见附件）。</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四、响应商资格</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2017-2019年度江苏省省级机关、事业单位限额内工程定点采购分包一、分包二成交单位。</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五、响应说明及要求（第3、4条必须在响应文件中做出书面承诺）</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响应商在认真阅读询价文件后须撰写服务承诺书并提供以下证明及资料：</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1、法定代表人身份证明和法定代表人对业务代表的正式授权书（一个单位不得委托多人代理，一人不得代理多个单位，否则响应无效）；</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2、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3、成交人需承诺其承担的工程项目在合同期内全部验收合格。</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4、成交人需承诺不得将成交项目转包及其它违规行为，一经发现立即取消定点施工资格，并按相关法律法规上报处理。</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6、响应商根据项目情况，客观报价，如发现恶意报价行为，作废标处理。</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7、磋商保证金1.9万元，成交后转为履约保证金。</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8、单项工程前期技术服务费用3000元（施工方案、招标控制价、招标清单等编制）由中标单位支付，支付时间为中标后20个工作日内。</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9、单项工程提供详细施工技术方案及未来清单报价表（含综合单价分析表等），并附光盘。</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六、材质及质量要求</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主材必须严格选用优质、环保、无腐蚀性产品，材料进场提供产品合格证并办理材料报验手续；施工规范符合现行国家规范；工程质量要求为：合格。</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主要材料品牌及样品提供要求：</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1.不锈钢品牌：喜有沃、武进、太钢、银环等同档次或高于此档次产品；</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2.提供小样</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1）Φ63亚光304不锈钢管，壁厚2mm；Φ50亚光304不锈钢管，壁厚1.5mm横档；竖管用Φ25亚光304不锈钢管，壁厚1.2mm，净间距11cm，上述各10cm。</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2）固定100*100厚8MM镀锌钢板，1块。</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3）300*300修补地砖，1块。</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七、工期要求</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20日历日，开工日期以甲方通知为准。施工现场要保证不影响正常教学和办公。</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八、施工管理要求</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2、主材检测：业主可随时对工程主要材料选择送检，检测费用包含在响应价内，如发现以次充好或不合格材料，除及时更换合格产品外，每发现一处扣罚款2000元。</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3、主要材料进场须经业主确认。</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4、图纸设计若有不符合现行规范、规定、标准等或其他不到位之处，施工单位必须提出，待业主确认后再施工，否则因此造成的质量事故由施工单位承担。</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5、隐蔽工程或部位必须报甲方同意后，方可进入下一步工序并自行留存相关资料，否则结算不予承认。</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6、施工管理中，未按规定要求（安全文明施工、质量标准等方面）进行施工、管理的，罚款300-500元/次。</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7、单项工程前期技术服务费用（施工方案、招标控制价、招标清单等编制）由中标单位支付，支付时间为成交后7个工作日内。</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8、单项工程提供详细施工技术方案及未来清单报价表（含综合单价分析表等），并附光盘。</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九、响应报价</w:t>
      </w:r>
    </w:p>
    <w:p>
      <w:pPr>
        <w:widowControl/>
        <w:ind w:firstLine="480" w:firstLineChars="200"/>
        <w:rPr>
          <w:rFonts w:asciiTheme="minorEastAsia" w:hAnsiTheme="minorEastAsia" w:eastAsiaTheme="minorEastAsia"/>
          <w:bCs/>
          <w:sz w:val="24"/>
          <w:szCs w:val="24"/>
        </w:rPr>
      </w:pPr>
      <w:r>
        <w:rPr>
          <w:rFonts w:hint="eastAsia" w:asciiTheme="minorEastAsia" w:hAnsiTheme="minorEastAsia" w:eastAsiaTheme="minorEastAsia"/>
          <w:bCs/>
          <w:sz w:val="24"/>
          <w:szCs w:val="24"/>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十、付款方式</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竣工并通过验收，付至合同价的60%；审计完毕付至审核结算价（全额发票）的95%；质保期满后无质量缺陷将5%质保金一次性免息支付。</w:t>
      </w: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rPr>
          <w:rFonts w:hAnsi="宋体" w:eastAsia="宋体"/>
          <w:bCs/>
          <w:sz w:val="21"/>
        </w:rPr>
      </w:pPr>
    </w:p>
    <w:p>
      <w:pP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r>
        <w:rPr>
          <w:rFonts w:hint="eastAsia" w:cs="宋体" w:asciiTheme="minorEastAsia" w:hAnsiTheme="minorEastAsia" w:eastAsiaTheme="minorEastAsia"/>
          <w:sz w:val="36"/>
          <w:szCs w:val="36"/>
        </w:rPr>
        <w:br w:type="textWrapping"/>
      </w:r>
    </w:p>
    <w:p>
      <w:pPr>
        <w:jc w:val="center"/>
        <w:rPr>
          <w:rFonts w:asciiTheme="minorEastAsia" w:hAnsiTheme="minorEastAsia" w:eastAsiaTheme="minorEastAsia" w:cstheme="majorEastAsia"/>
          <w:sz w:val="36"/>
          <w:szCs w:val="36"/>
        </w:rPr>
      </w:pPr>
    </w:p>
    <w:p>
      <w:pPr>
        <w:pStyle w:val="2"/>
        <w:keepNext w:val="0"/>
        <w:keepLines w:val="0"/>
        <w:jc w:val="center"/>
        <w:rPr>
          <w:rFonts w:asciiTheme="minorEastAsia" w:hAnsiTheme="minorEastAsia" w:eastAsiaTheme="minorEastAsia" w:cstheme="majorEastAsia"/>
          <w:sz w:val="36"/>
          <w:szCs w:val="36"/>
        </w:rPr>
      </w:pPr>
      <w:bookmarkStart w:id="84" w:name="_Toc8246"/>
      <w:r>
        <w:rPr>
          <w:rFonts w:hint="eastAsia" w:asciiTheme="minorEastAsia" w:hAnsiTheme="minorEastAsia" w:eastAsiaTheme="minorEastAsia" w:cstheme="majorEastAsia"/>
          <w:sz w:val="36"/>
          <w:szCs w:val="36"/>
        </w:rPr>
        <w:t>第六章  响应文件格式</w:t>
      </w:r>
      <w:bookmarkEnd w:id="83"/>
      <w:bookmarkEnd w:id="84"/>
    </w:p>
    <w:p>
      <w:pPr>
        <w:jc w:val="center"/>
        <w:rPr>
          <w:rFonts w:asciiTheme="minorEastAsia" w:hAnsiTheme="minorEastAsia" w:eastAsiaTheme="minorEastAsia"/>
          <w:b/>
          <w:sz w:val="72"/>
        </w:rPr>
      </w:pPr>
      <w:bookmarkStart w:id="85" w:name="_Hlt26955039"/>
      <w:bookmarkEnd w:id="85"/>
      <w:bookmarkStart w:id="86" w:name="_Hlt26671244"/>
      <w:bookmarkEnd w:id="86"/>
      <w:bookmarkStart w:id="87" w:name="_Toc120614282"/>
      <w:bookmarkStart w:id="88" w:name="_Toc49090576"/>
      <w:bookmarkStart w:id="89"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7"/>
    <w:bookmarkEnd w:id="88"/>
    <w:bookmarkEnd w:id="89"/>
    <w:p>
      <w:pPr>
        <w:widowControl/>
        <w:adjustRightInd/>
        <w:spacing w:line="240" w:lineRule="auto"/>
        <w:jc w:val="center"/>
        <w:textAlignment w:val="auto"/>
        <w:rPr>
          <w:rStyle w:val="22"/>
          <w:rFonts w:asciiTheme="minorEastAsia" w:hAnsiTheme="minorEastAsia" w:eastAsiaTheme="minorEastAsia"/>
          <w:color w:val="auto"/>
        </w:rPr>
      </w:pPr>
      <w:r>
        <w:rPr>
          <w:rFonts w:asciiTheme="minorEastAsia" w:hAnsiTheme="minorEastAsia" w:eastAsiaTheme="minorEastAsia"/>
          <w:b/>
          <w:sz w:val="30"/>
          <w:szCs w:val="30"/>
        </w:rPr>
        <w:br w:type="page"/>
      </w:r>
      <w:r>
        <w:rPr>
          <w:rStyle w:val="22"/>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7"/>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lang w:val="en-US" w:eastAsia="zh-CN"/>
              </w:rPr>
              <w:t>2017年度</w:t>
            </w: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1155"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2"/>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总报价为每套（大写）元人民币。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2"/>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7"/>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center"/>
        <w:rPr>
          <w:rStyle w:val="22"/>
          <w:rFonts w:asciiTheme="minorEastAsia" w:hAnsiTheme="minorEastAsia" w:eastAsiaTheme="minorEastAsia"/>
          <w:color w:val="auto"/>
          <w:sz w:val="21"/>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2"/>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7"/>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3"/>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7"/>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3"/>
        <w:widowControl/>
        <w:numPr>
          <w:ilvl w:val="0"/>
          <w:numId w:val="3"/>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3"/>
        <w:widowControl/>
        <w:numPr>
          <w:ilvl w:val="0"/>
          <w:numId w:val="3"/>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rPr>
          <w:rFonts w:cs="宋体" w:asciiTheme="minorEastAsia" w:hAnsiTheme="minorEastAsia" w:eastAsiaTheme="minorEastAsia"/>
          <w:color w:val="000000"/>
          <w:sz w:val="21"/>
          <w:lang w:val="zh-CN"/>
        </w:rPr>
      </w:pPr>
    </w:p>
    <w:tbl>
      <w:tblPr>
        <w:tblStyle w:val="17"/>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rPr>
          <w:rFonts w:cs="宋体" w:asciiTheme="minorEastAsia" w:hAnsiTheme="minorEastAsia" w:eastAsiaTheme="minorEastAsia"/>
          <w:color w:val="000000"/>
          <w:sz w:val="21"/>
          <w:lang w:val="zh-CN"/>
        </w:rPr>
      </w:pPr>
    </w:p>
    <w:tbl>
      <w:tblPr>
        <w:tblStyle w:val="17"/>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7"/>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0" w:name="_Toc351731637"/>
      <w:bookmarkStart w:id="91" w:name="_Toc464724913"/>
      <w:bookmarkStart w:id="92" w:name="_Toc465082424"/>
      <w:bookmarkStart w:id="93" w:name="_Toc264974219"/>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0"/>
      <w:bookmarkEnd w:id="91"/>
      <w:bookmarkEnd w:id="92"/>
      <w:bookmarkEnd w:id="93"/>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altName w:val="黑体"/>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4"/>
      </w:rPr>
    </w:pPr>
    <w:r>
      <w:rPr>
        <w:rStyle w:val="14"/>
      </w:rPr>
      <w:fldChar w:fldCharType="begin"/>
    </w:r>
    <w:r>
      <w:rPr>
        <w:rStyle w:val="14"/>
      </w:rPr>
      <w:instrText xml:space="preserve">PAGE  </w:instrText>
    </w:r>
    <w:r>
      <w:rPr>
        <w:rStyle w:val="14"/>
      </w:rPr>
      <w:fldChar w:fldCharType="separate"/>
    </w:r>
    <w:r>
      <w:rPr>
        <w:rStyle w:val="14"/>
      </w:rPr>
      <w:t>29</w:t>
    </w:r>
    <w:r>
      <w:rPr>
        <w:rStyle w:val="14"/>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677AE1"/>
    <w:rsid w:val="007229CC"/>
    <w:rsid w:val="00764B5C"/>
    <w:rsid w:val="00776B44"/>
    <w:rsid w:val="007979D5"/>
    <w:rsid w:val="007A3E59"/>
    <w:rsid w:val="008418AC"/>
    <w:rsid w:val="00881AD4"/>
    <w:rsid w:val="0089007F"/>
    <w:rsid w:val="008C1953"/>
    <w:rsid w:val="009514EC"/>
    <w:rsid w:val="009649A5"/>
    <w:rsid w:val="00A20341"/>
    <w:rsid w:val="00A21187"/>
    <w:rsid w:val="00A47883"/>
    <w:rsid w:val="00A92104"/>
    <w:rsid w:val="00B278AE"/>
    <w:rsid w:val="00B41E6C"/>
    <w:rsid w:val="00BD2BF3"/>
    <w:rsid w:val="00BD4E84"/>
    <w:rsid w:val="00C47474"/>
    <w:rsid w:val="00C73DA1"/>
    <w:rsid w:val="00C86E8C"/>
    <w:rsid w:val="00C919C3"/>
    <w:rsid w:val="00CC2515"/>
    <w:rsid w:val="00D033BC"/>
    <w:rsid w:val="00D348EE"/>
    <w:rsid w:val="00D655E2"/>
    <w:rsid w:val="00F43CCF"/>
    <w:rsid w:val="00F45FCD"/>
    <w:rsid w:val="00F6350D"/>
    <w:rsid w:val="00FC7119"/>
    <w:rsid w:val="01AD63F7"/>
    <w:rsid w:val="05547EF2"/>
    <w:rsid w:val="055D3862"/>
    <w:rsid w:val="05A80354"/>
    <w:rsid w:val="082A085F"/>
    <w:rsid w:val="0D206993"/>
    <w:rsid w:val="0F2954C2"/>
    <w:rsid w:val="13765BE1"/>
    <w:rsid w:val="15150FC3"/>
    <w:rsid w:val="177C42CC"/>
    <w:rsid w:val="18E67D5A"/>
    <w:rsid w:val="199E024F"/>
    <w:rsid w:val="1E2F0815"/>
    <w:rsid w:val="1E3C72FE"/>
    <w:rsid w:val="201C2A60"/>
    <w:rsid w:val="21365382"/>
    <w:rsid w:val="23E541A3"/>
    <w:rsid w:val="262E3722"/>
    <w:rsid w:val="278A1943"/>
    <w:rsid w:val="28A1440C"/>
    <w:rsid w:val="28C6043E"/>
    <w:rsid w:val="2CE87CA2"/>
    <w:rsid w:val="2DFB34F3"/>
    <w:rsid w:val="31225F10"/>
    <w:rsid w:val="33932BE6"/>
    <w:rsid w:val="33BC1180"/>
    <w:rsid w:val="34FD7862"/>
    <w:rsid w:val="353848F1"/>
    <w:rsid w:val="35F654F2"/>
    <w:rsid w:val="36B742F3"/>
    <w:rsid w:val="37DB0A41"/>
    <w:rsid w:val="3910217E"/>
    <w:rsid w:val="39FB1D26"/>
    <w:rsid w:val="3A3003A1"/>
    <w:rsid w:val="42006AC6"/>
    <w:rsid w:val="44FA448C"/>
    <w:rsid w:val="4720386C"/>
    <w:rsid w:val="49655E8C"/>
    <w:rsid w:val="4A062164"/>
    <w:rsid w:val="4BB5371F"/>
    <w:rsid w:val="4DAA66B9"/>
    <w:rsid w:val="4FF7030B"/>
    <w:rsid w:val="5020390E"/>
    <w:rsid w:val="50C14D82"/>
    <w:rsid w:val="54383383"/>
    <w:rsid w:val="54860917"/>
    <w:rsid w:val="555039D2"/>
    <w:rsid w:val="55570EFF"/>
    <w:rsid w:val="564B4A20"/>
    <w:rsid w:val="56A0323C"/>
    <w:rsid w:val="56F12796"/>
    <w:rsid w:val="5A2027F8"/>
    <w:rsid w:val="5B3311C3"/>
    <w:rsid w:val="63033838"/>
    <w:rsid w:val="6774251A"/>
    <w:rsid w:val="68C732CF"/>
    <w:rsid w:val="69644C01"/>
    <w:rsid w:val="6A237128"/>
    <w:rsid w:val="6C7F18D1"/>
    <w:rsid w:val="6D771B7F"/>
    <w:rsid w:val="6E9F1E20"/>
    <w:rsid w:val="704F6B31"/>
    <w:rsid w:val="70B94642"/>
    <w:rsid w:val="711B0440"/>
    <w:rsid w:val="71AD019D"/>
    <w:rsid w:val="72315292"/>
    <w:rsid w:val="728F2AA4"/>
    <w:rsid w:val="72BD0BF0"/>
    <w:rsid w:val="73C345F4"/>
    <w:rsid w:val="73EE345D"/>
    <w:rsid w:val="783A485F"/>
    <w:rsid w:val="783B34E0"/>
    <w:rsid w:val="78F67F05"/>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3">
    <w:name w:val="Default Paragraph Font"/>
    <w:semiHidden/>
    <w:unhideWhenUsed/>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hAnsi="宋体" w:cs="宋体"/>
      <w:sz w:val="24"/>
      <w:szCs w:val="24"/>
    </w:rPr>
  </w:style>
  <w:style w:type="character" w:styleId="14">
    <w:name w:val="page number"/>
    <w:basedOn w:val="13"/>
    <w:qFormat/>
    <w:uiPriority w:val="0"/>
  </w:style>
  <w:style w:type="character" w:styleId="15">
    <w:name w:val="Emphasis"/>
    <w:qFormat/>
    <w:uiPriority w:val="0"/>
    <w:rPr>
      <w:i/>
      <w:iCs/>
    </w:rPr>
  </w:style>
  <w:style w:type="character" w:styleId="16">
    <w:name w:val="Hyperlink"/>
    <w:basedOn w:val="13"/>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3"/>
    <w:link w:val="9"/>
    <w:qFormat/>
    <w:uiPriority w:val="0"/>
    <w:rPr>
      <w:rFonts w:ascii="宋体" w:eastAsia="仿宋"/>
      <w:sz w:val="18"/>
      <w:szCs w:val="18"/>
    </w:rPr>
  </w:style>
  <w:style w:type="character" w:customStyle="1" w:styleId="26">
    <w:name w:val="纯文本 Char"/>
    <w:basedOn w:val="13"/>
    <w:link w:val="6"/>
    <w:qFormat/>
    <w:uiPriority w:val="0"/>
    <w:rPr>
      <w:rFonts w:ascii="宋体" w:hAnsi="Courier New" w:eastAsia="仿宋"/>
      <w:sz w:val="21"/>
      <w:szCs w:val="21"/>
    </w:rPr>
  </w:style>
  <w:style w:type="paragraph" w:styleId="27">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2498</Words>
  <Characters>14242</Characters>
  <Lines>118</Lines>
  <Paragraphs>33</Paragraphs>
  <TotalTime>17</TotalTime>
  <ScaleCrop>false</ScaleCrop>
  <LinksUpToDate>false</LinksUpToDate>
  <CharactersWithSpaces>16707</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lsz0554163com</cp:lastModifiedBy>
  <cp:lastPrinted>2018-05-24T06:15:00Z</cp:lastPrinted>
  <dcterms:modified xsi:type="dcterms:W3CDTF">2018-12-14T06:53:11Z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