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37620797"/>
      <w:bookmarkStart w:id="1" w:name="_Toc341988481"/>
      <w:bookmarkStart w:id="2" w:name="_Toc342252860"/>
      <w:bookmarkStart w:id="3" w:name="_Toc341991041"/>
      <w:bookmarkStart w:id="4" w:name="_Toc341992707"/>
      <w:bookmarkStart w:id="5" w:name="_Toc342241484"/>
      <w:bookmarkStart w:id="6" w:name="_Toc341993786"/>
      <w:bookmarkStart w:id="7" w:name="_Toc341992627"/>
      <w:bookmarkStart w:id="8" w:name="_Toc341993112"/>
      <w:bookmarkStart w:id="9" w:name="_Toc337622980"/>
      <w:r>
        <w:rPr>
          <w:rFonts w:hint="eastAsia" w:asciiTheme="minorEastAsia" w:hAnsiTheme="minorEastAsia" w:eastAsiaTheme="minorEastAsia"/>
          <w:b/>
          <w:bCs/>
          <w:sz w:val="36"/>
          <w:szCs w:val="36"/>
        </w:rPr>
        <w:t>南京交通职业技术学院建筑装饰材料与构造工程项目</w:t>
      </w:r>
    </w:p>
    <w:p>
      <w:pPr>
        <w:jc w:val="center"/>
        <w:rPr>
          <w:rFonts w:asciiTheme="minorEastAsia" w:hAnsiTheme="minorEastAsia" w:eastAsiaTheme="minorEastAsia"/>
          <w:b/>
          <w:bCs/>
          <w:sz w:val="52"/>
          <w:szCs w:val="52"/>
          <w:lang w:val="zh-CN"/>
        </w:rPr>
      </w:pPr>
      <w:bookmarkStart w:id="96" w:name="_GoBack"/>
      <w:bookmarkEnd w:id="96"/>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0"/>
        <w:ind w:firstLine="0"/>
        <w:jc w:val="center"/>
        <w:rPr>
          <w:rFonts w:asciiTheme="minorEastAsia" w:hAnsiTheme="minorEastAsia" w:eastAsiaTheme="minorEastAsia"/>
          <w:b/>
          <w:bCs/>
          <w:sz w:val="36"/>
          <w:szCs w:val="36"/>
        </w:rPr>
      </w:pPr>
    </w:p>
    <w:p>
      <w:pPr>
        <w:pStyle w:val="20"/>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采购编号：JY2019138</w:t>
      </w: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0"/>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0"/>
        <w:spacing w:before="0" w:after="0"/>
        <w:ind w:firstLine="0"/>
        <w:jc w:val="center"/>
        <w:rPr>
          <w:rFonts w:asciiTheme="minorEastAsia" w:hAnsiTheme="minorEastAsia" w:eastAsiaTheme="minorEastAsia"/>
          <w:b/>
          <w:bCs/>
          <w:sz w:val="36"/>
          <w:szCs w:val="36"/>
          <w:lang w:val="zh-CN"/>
        </w:rPr>
      </w:pPr>
    </w:p>
    <w:p>
      <w:pPr>
        <w:pStyle w:val="20"/>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rPr>
        <w:t>十一</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20823272"/>
      <w:bookmarkStart w:id="12" w:name="_Toc523127445"/>
      <w:bookmarkStart w:id="13" w:name="_Toc513029200"/>
      <w:bookmarkStart w:id="14" w:name="_Toc403987193"/>
      <w:bookmarkStart w:id="15" w:name="_Toc120614210"/>
      <w:bookmarkStart w:id="16" w:name="_Toc403986986"/>
      <w:bookmarkStart w:id="17" w:name="_Toc16938516"/>
      <w:bookmarkStart w:id="18" w:name="_Toc479757206"/>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_Toc9132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_Toc9132 </w:instrText>
      </w:r>
      <w:r>
        <w:fldChar w:fldCharType="separate"/>
      </w:r>
      <w:r>
        <w:t>1</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_Toc20694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_Toc20694 </w:instrText>
      </w:r>
      <w:r>
        <w:fldChar w:fldCharType="separate"/>
      </w:r>
      <w:r>
        <w:t>4</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_Toc7324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_Toc7324 </w:instrText>
      </w:r>
      <w:r>
        <w:fldChar w:fldCharType="separate"/>
      </w:r>
      <w:r>
        <w:t>11</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_Toc6960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_Toc6960 </w:instrText>
      </w:r>
      <w:r>
        <w:fldChar w:fldCharType="separate"/>
      </w:r>
      <w:r>
        <w:t>14</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_Toc9903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24"/>
        </w:rPr>
        <w:t>第五章  采购项目的技术规格、要求和数量等</w:t>
      </w:r>
      <w:r>
        <w:tab/>
      </w:r>
      <w:r>
        <w:fldChar w:fldCharType="begin"/>
      </w:r>
      <w:r>
        <w:instrText xml:space="preserve"> PAGEREF _Toc9903 </w:instrText>
      </w:r>
      <w:r>
        <w:fldChar w:fldCharType="separate"/>
      </w:r>
      <w:r>
        <w:t>15</w:t>
      </w:r>
      <w:r>
        <w:fldChar w:fldCharType="end"/>
      </w:r>
      <w:r>
        <w:rPr>
          <w:rFonts w:asciiTheme="minorEastAsia" w:hAnsiTheme="minorEastAsia" w:eastAsiaTheme="minorEastAsia"/>
          <w:szCs w:val="24"/>
        </w:rPr>
        <w:fldChar w:fldCharType="end"/>
      </w:r>
    </w:p>
    <w:p>
      <w:pPr>
        <w:pStyle w:val="11"/>
        <w:tabs>
          <w:tab w:val="right" w:leader="dot" w:pos="9070"/>
        </w:tabs>
      </w:pP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HYPERLINK \l _Toc10158 </w:instrText>
      </w:r>
      <w:r>
        <w:rPr>
          <w:rFonts w:asciiTheme="minorEastAsia" w:hAnsiTheme="minorEastAsia" w:eastAsiaTheme="minorEastAsia"/>
          <w:szCs w:val="24"/>
        </w:rP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_Toc10158 </w:instrText>
      </w:r>
      <w:r>
        <w:fldChar w:fldCharType="separate"/>
      </w:r>
      <w:r>
        <w:t>22</w:t>
      </w:r>
      <w:r>
        <w:fldChar w:fldCharType="end"/>
      </w:r>
      <w:r>
        <w:rPr>
          <w:rFonts w:asciiTheme="minorEastAsia" w:hAnsiTheme="minorEastAsia" w:eastAsiaTheme="minorEastAsia"/>
          <w:szCs w:val="24"/>
        </w:rP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9132"/>
      <w:bookmarkStart w:id="20" w:name="OLE_LINK2"/>
      <w:bookmarkStart w:id="21" w:name="_Toc49090575"/>
      <w:bookmarkStart w:id="22" w:name="OLE_LINK1"/>
      <w:bookmarkStart w:id="23" w:name="_Toc120614281"/>
      <w:bookmarkStart w:id="24" w:name="_Toc26554093"/>
      <w:bookmarkStart w:id="25" w:name="_Toc479757211"/>
      <w:bookmarkStart w:id="26" w:name="_Toc462564139"/>
      <w:bookmarkStart w:id="27" w:name="_Toc341993788"/>
      <w:bookmarkStart w:id="28" w:name="_Toc341991044"/>
      <w:bookmarkStart w:id="29" w:name="_Toc337622372"/>
      <w:bookmarkStart w:id="30" w:name="_Toc403401434"/>
      <w:bookmarkStart w:id="31" w:name="_Toc342558384"/>
      <w:bookmarkStart w:id="32" w:name="_Toc337622640"/>
      <w:bookmarkStart w:id="33" w:name="_Toc341993114"/>
      <w:bookmarkStart w:id="34" w:name="_Toc341988484"/>
      <w:bookmarkStart w:id="35" w:name="_Toc341992710"/>
      <w:bookmarkStart w:id="36" w:name="_Toc342497332"/>
      <w:bookmarkStart w:id="37" w:name="_Toc342374716"/>
      <w:bookmarkStart w:id="38" w:name="_Toc337584644"/>
      <w:bookmarkStart w:id="39" w:name="_Toc337620692"/>
      <w:bookmarkStart w:id="40" w:name="_Toc337622790"/>
      <w:bookmarkStart w:id="41" w:name="_Toc342252863"/>
      <w:bookmarkStart w:id="42" w:name="_Toc366517151"/>
      <w:bookmarkStart w:id="43" w:name="_Toc337622251"/>
      <w:bookmarkStart w:id="44" w:name="_Toc337622590"/>
      <w:bookmarkStart w:id="45" w:name="_Toc337620800"/>
      <w:bookmarkStart w:id="46" w:name="_Toc373781378"/>
      <w:bookmarkStart w:id="47" w:name="_Toc337584877"/>
      <w:bookmarkStart w:id="48" w:name="_Toc337620620"/>
      <w:bookmarkStart w:id="49" w:name="_Toc341992630"/>
      <w:bookmarkStart w:id="50" w:name="_Toc342241487"/>
      <w:bookmarkStart w:id="51" w:name="_Toc337622278"/>
      <w:bookmarkStart w:id="52" w:name="_Toc337584958"/>
      <w:bookmarkStart w:id="53" w:name="_Toc337622983"/>
      <w:bookmarkStart w:id="54" w:name="_Toc365619242"/>
      <w:bookmarkStart w:id="55" w:name="_Ref352791871"/>
      <w:bookmarkStart w:id="56" w:name="_Toc337622690"/>
      <w:bookmarkStart w:id="57" w:name="_Toc40356041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建筑工程学院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其建筑装饰材料与构造工程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项目名称：南京交通职业技术学院建筑装饰材料与构造工程</w:t>
      </w:r>
    </w:p>
    <w:p>
      <w:pPr>
        <w:pStyle w:val="21"/>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JY2019138</w:t>
      </w:r>
    </w:p>
    <w:p>
      <w:pPr>
        <w:pStyle w:val="21"/>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南京交通职业技术学院建筑装饰材料与构造工程，预算人民币60万。</w:t>
      </w:r>
    </w:p>
    <w:p>
      <w:pPr>
        <w:pStyle w:val="21"/>
        <w:numPr>
          <w:ilvl w:val="0"/>
          <w:numId w:val="0"/>
        </w:numPr>
        <w:ind w:firstLine="420" w:firstLineChars="200"/>
        <w:outlineLvl w:val="9"/>
        <w:rPr>
          <w:rFonts w:hint="eastAsia"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pStyle w:val="21"/>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招标项目的要求、数量等详见第五章。</w:t>
      </w:r>
    </w:p>
    <w:p>
      <w:pPr>
        <w:pStyle w:val="21"/>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2019-2020年度江苏省省级机关、事业单位限额内工程定点入围供应商。</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1"/>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3"/>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凡有意参加的响应商，请于2019年11月18日前将确认函发送至邮箱cgb@njitt.edu.cn，邮件主题为公司名称+项目名称，采购办不接受没有报名确认的响应文件。</w:t>
      </w:r>
      <w:r>
        <w:rPr>
          <w:rFonts w:hint="eastAsia" w:asciiTheme="minorEastAsia" w:hAnsiTheme="minorEastAsia" w:eastAsiaTheme="minorEastAsia" w:cstheme="minorEastAsia"/>
          <w:bCs/>
          <w:sz w:val="21"/>
          <w:szCs w:val="21"/>
        </w:rPr>
        <w:fldChar w:fldCharType="end"/>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响应文件壹份（一般应为PDF格式、U盘形式，随纸质正本文件一并提交）。当纸质正本文件与副本、电子版文件不一致时，以纸质正本文件为准。电子版文件用于存档，供应商须承担前述不一致造成的不利后果。</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3、响应文件正、副本均须胶装，正本份数：1份，副本份数：4份。未按要求装订，作废件处理。</w:t>
      </w:r>
    </w:p>
    <w:p>
      <w:pPr>
        <w:pStyle w:val="23"/>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 xml:space="preserve">（三）响应文件接收时间：2019年11月20日 </w:t>
      </w:r>
    </w:p>
    <w:p>
      <w:pPr>
        <w:pStyle w:val="23"/>
        <w:ind w:firstLine="420"/>
        <w:rPr>
          <w:rFonts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 xml:space="preserve">（四）响应文件递交截止时间及开启时间：2019年11月20日9：00 </w:t>
      </w:r>
    </w:p>
    <w:p>
      <w:pPr>
        <w:pStyle w:val="23"/>
        <w:ind w:firstLine="42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1"/>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磋商保证金：壹万圆整(现金信封密封好，现场收取)， 成交后转为履约保证金（履约保证金不足部分按合同规定金额补齐）。</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1"/>
        <w:numPr>
          <w:ilvl w:val="0"/>
          <w:numId w:val="0"/>
        </w:numPr>
        <w:ind w:firstLine="420" w:firstLineChars="200"/>
        <w:rPr>
          <w:rFonts w:asciiTheme="minorEastAsia" w:hAnsiTheme="minorEastAsia" w:eastAsiaTheme="minorEastAsia" w:cstheme="minorEastAsia"/>
          <w:b w:val="0"/>
          <w:bCs/>
          <w:sz w:val="21"/>
          <w:highlight w:val="yellow"/>
        </w:rPr>
      </w:pPr>
      <w:r>
        <w:rPr>
          <w:rFonts w:hint="eastAsia" w:asciiTheme="minorEastAsia" w:hAnsiTheme="minorEastAsia" w:eastAsiaTheme="minorEastAsia" w:cstheme="minorEastAsia"/>
          <w:b w:val="0"/>
          <w:bCs/>
          <w:sz w:val="21"/>
        </w:rPr>
        <w:t>现场自行勘探。 采购单位联系人：黄老师     联系电话：025—86115802</w:t>
      </w:r>
    </w:p>
    <w:p>
      <w:pPr>
        <w:pStyle w:val="22"/>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 xml:space="preserve">竞争性磋商文件编制：刘老师（男）        联系电话：025—86115873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3"/>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0694"/>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7324"/>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156" w:beforeLines="50" w:after="156"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序号</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评分</w:t>
            </w:r>
          </w:p>
          <w:p>
            <w:pPr>
              <w:jc w:val="center"/>
              <w:rPr>
                <w:rFonts w:hAnsi="宋体" w:eastAsia="宋体"/>
                <w:b/>
                <w:sz w:val="21"/>
              </w:rPr>
            </w:pPr>
            <w:r>
              <w:rPr>
                <w:rFonts w:hint="eastAsia" w:hAnsi="宋体" w:eastAsia="宋体"/>
                <w:b/>
                <w:sz w:val="21"/>
              </w:rPr>
              <w:t>因素</w:t>
            </w:r>
          </w:p>
        </w:tc>
        <w:tc>
          <w:tcPr>
            <w:tcW w:w="6929"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评审标准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bookmarkStart w:id="80" w:name="OLE_LINK4" w:colFirst="3" w:colLast="3"/>
            <w:bookmarkStart w:id="81" w:name="_Hlk370300360"/>
            <w:r>
              <w:rPr>
                <w:rFonts w:hint="eastAsia" w:hAnsi="宋体" w:eastAsia="宋体"/>
                <w:b/>
                <w:bCs/>
                <w:sz w:val="21"/>
              </w:rPr>
              <w:t>1</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 价格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评标采用低价优先的方法，即满足招标文件要求的最低价的报价为评标基准价，其价格分为满分。</w:t>
            </w:r>
          </w:p>
          <w:p>
            <w:pPr>
              <w:ind w:firstLine="420" w:firstLineChars="200"/>
              <w:rPr>
                <w:rFonts w:hAnsi="宋体" w:eastAsia="宋体"/>
                <w:sz w:val="21"/>
              </w:rPr>
            </w:pPr>
            <w:r>
              <w:rPr>
                <w:rFonts w:hint="eastAsia" w:hAnsi="宋体" w:eastAsia="宋体"/>
                <w:sz w:val="21"/>
              </w:rPr>
              <w:t>其他供应商的价格分按照下列公式计算（小数点保留两位）：</w:t>
            </w:r>
          </w:p>
          <w:p>
            <w:pPr>
              <w:ind w:firstLine="420" w:firstLineChars="200"/>
              <w:rPr>
                <w:rFonts w:hAnsi="宋体" w:eastAsia="宋体"/>
                <w:sz w:val="21"/>
              </w:rPr>
            </w:pPr>
            <w:r>
              <w:rPr>
                <w:rFonts w:hint="eastAsia" w:hAnsi="宋体" w:eastAsia="宋体"/>
                <w:sz w:val="21"/>
              </w:rPr>
              <w:t>投标报价得分=(评标基准价／投标报价)×30。</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2.1</w:t>
            </w:r>
          </w:p>
        </w:tc>
        <w:tc>
          <w:tcPr>
            <w:tcW w:w="1606" w:type="dxa"/>
            <w:vMerge w:val="restart"/>
            <w:tcBorders>
              <w:left w:val="single" w:color="auto" w:sz="4" w:space="0"/>
              <w:right w:val="single" w:color="auto" w:sz="4" w:space="0"/>
            </w:tcBorders>
            <w:vAlign w:val="center"/>
          </w:tcPr>
          <w:p>
            <w:pPr>
              <w:jc w:val="center"/>
              <w:rPr>
                <w:rFonts w:hAnsi="宋体" w:eastAsia="宋体"/>
                <w:sz w:val="21"/>
              </w:rPr>
            </w:pPr>
            <w:r>
              <w:rPr>
                <w:rFonts w:hint="eastAsia" w:hAnsi="宋体" w:eastAsia="宋体"/>
                <w:b/>
                <w:bCs/>
                <w:sz w:val="21"/>
              </w:rPr>
              <w:t>技术</w:t>
            </w:r>
            <w:r>
              <w:rPr>
                <w:rFonts w:hint="eastAsia" w:hAnsi="宋体" w:eastAsia="宋体"/>
                <w:sz w:val="21"/>
              </w:rPr>
              <w:t xml:space="preserve">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的整体理解程度和设计大纲的前瞻性、科学性、创新性、针对性、合理性和可操作性等方面进行综合评分，对本项目整体理解程度深刻，设计优得8-6分；对本项目具有基本的理解，设计良好得5-3分；对本项目整体理解程度一般，设计一般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2.3</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restart"/>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sz w:val="21"/>
                <w:lang w:bidi="ar"/>
              </w:rPr>
              <w:t>8-6分，良好得5-3分，一般得2-1分；其他情况不得分。</w:t>
            </w:r>
          </w:p>
        </w:tc>
        <w:tc>
          <w:tcPr>
            <w:tcW w:w="675" w:type="dxa"/>
            <w:vMerge w:val="restart"/>
            <w:tcBorders>
              <w:top w:val="single" w:color="auto" w:sz="4" w:space="0"/>
              <w:left w:val="single" w:color="auto" w:sz="4" w:space="0"/>
              <w:right w:val="single" w:color="auto" w:sz="4" w:space="0"/>
            </w:tcBorders>
            <w:vAlign w:val="center"/>
          </w:tcPr>
          <w:p>
            <w:pPr>
              <w:widowControl/>
              <w:jc w:val="center"/>
              <w:rPr>
                <w:rFonts w:hAnsi="宋体" w:eastAsia="宋体"/>
                <w:b/>
                <w:bCs/>
                <w:sz w:val="21"/>
              </w:rPr>
            </w:pPr>
          </w:p>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2.4</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widowControl/>
              <w:ind w:firstLine="422" w:firstLineChars="200"/>
              <w:rPr>
                <w:rStyle w:val="16"/>
                <w:rFonts w:hAnsi="宋体" w:eastAsia="宋体"/>
                <w:sz w:val="21"/>
              </w:rPr>
            </w:pPr>
          </w:p>
        </w:tc>
        <w:tc>
          <w:tcPr>
            <w:tcW w:w="675" w:type="dxa"/>
            <w:vMerge w:val="continue"/>
            <w:tcBorders>
              <w:left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2.5</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ind w:firstLine="422" w:firstLineChars="200"/>
              <w:rPr>
                <w:rStyle w:val="16"/>
                <w:rFonts w:hAnsi="宋体" w:eastAsia="宋体"/>
                <w:sz w:val="21"/>
              </w:rPr>
            </w:pPr>
          </w:p>
        </w:tc>
        <w:tc>
          <w:tcPr>
            <w:tcW w:w="675" w:type="dxa"/>
            <w:vMerge w:val="continue"/>
            <w:tcBorders>
              <w:left w:val="single" w:color="auto" w:sz="4" w:space="0"/>
              <w:bottom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2.6</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ind w:firstLine="420" w:firstLineChars="200"/>
              <w:rPr>
                <w:rStyle w:val="16"/>
                <w:rFonts w:hAnsi="宋体" w:eastAsia="宋体"/>
                <w:sz w:val="21"/>
              </w:rPr>
            </w:pPr>
            <w:r>
              <w:rPr>
                <w:rFonts w:hint="eastAsia" w:hAnsi="宋体" w:eastAsia="宋体"/>
                <w:sz w:val="21"/>
              </w:rPr>
              <w:t>评委根据供应商针对本项目提供的概算方案（编制未来全费用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c>
          <w:tcPr>
            <w:tcW w:w="1606" w:type="dxa"/>
            <w:tcBorders>
              <w:left w:val="single" w:color="auto" w:sz="4" w:space="0"/>
              <w:right w:val="single" w:color="auto" w:sz="4" w:space="0"/>
            </w:tcBorders>
            <w:vAlign w:val="center"/>
          </w:tcPr>
          <w:p>
            <w:pPr>
              <w:adjustRightInd/>
              <w:jc w:val="left"/>
              <w:textAlignment w:val="auto"/>
              <w:rPr>
                <w:rFonts w:eastAsia="宋体"/>
                <w:sz w:val="21"/>
              </w:rPr>
            </w:pPr>
            <w:r>
              <w:rPr>
                <w:rFonts w:hint="eastAsia" w:hAnsi="宋体" w:eastAsia="宋体"/>
                <w:b/>
                <w:bCs/>
                <w:sz w:val="21"/>
              </w:rPr>
              <w:t>主要材料品牌、质量及市场知名度（10分）</w:t>
            </w:r>
          </w:p>
        </w:tc>
        <w:tc>
          <w:tcPr>
            <w:tcW w:w="6929" w:type="dxa"/>
            <w:tcBorders>
              <w:top w:val="single" w:color="auto" w:sz="4" w:space="0"/>
              <w:left w:val="single" w:color="auto" w:sz="4" w:space="0"/>
              <w:right w:val="single" w:color="auto" w:sz="4" w:space="0"/>
            </w:tcBorders>
          </w:tcPr>
          <w:p>
            <w:pPr>
              <w:ind w:firstLine="420" w:firstLineChars="200"/>
              <w:rPr>
                <w:rFonts w:hAnsi="宋体" w:eastAsia="宋体"/>
                <w:sz w:val="21"/>
              </w:rPr>
            </w:pPr>
            <w:r>
              <w:rPr>
                <w:rFonts w:hint="eastAsia" w:hAnsi="宋体" w:eastAsia="宋体"/>
                <w:sz w:val="21"/>
              </w:rPr>
              <w:t>评委根据供应商所响应的主要物品品牌、材料的质量及市场知名度和认可度打分，较好10-8分，一般7-4分，其他4分以下。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4</w:t>
            </w: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业绩 </w:t>
            </w:r>
          </w:p>
          <w:p>
            <w:pPr>
              <w:pStyle w:val="2"/>
              <w:ind w:firstLine="211" w:firstLineChars="100"/>
              <w:rPr>
                <w:rFonts w:eastAsia="宋体"/>
                <w:sz w:val="21"/>
                <w:szCs w:val="21"/>
              </w:rPr>
            </w:pPr>
            <w:r>
              <w:rPr>
                <w:rFonts w:hint="eastAsia" w:eastAsia="宋体"/>
                <w:b/>
                <w:bCs/>
                <w:sz w:val="21"/>
                <w:szCs w:val="21"/>
              </w:rPr>
              <w:t>（10分）</w:t>
            </w:r>
          </w:p>
        </w:tc>
        <w:tc>
          <w:tcPr>
            <w:tcW w:w="6929" w:type="dxa"/>
            <w:tcBorders>
              <w:top w:val="single" w:color="auto" w:sz="4" w:space="0"/>
              <w:left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（1）2016年1月1日以来，供应商具有与本项目相关类似业绩的，每提供一项得4分，最高得10分；</w:t>
            </w:r>
          </w:p>
          <w:p>
            <w:pPr>
              <w:ind w:firstLine="420" w:firstLineChars="200"/>
              <w:rPr>
                <w:rFonts w:hAnsi="宋体" w:eastAsia="宋体"/>
                <w:sz w:val="21"/>
              </w:rPr>
            </w:pPr>
            <w:r>
              <w:rPr>
                <w:rFonts w:hint="eastAsia" w:hAnsi="宋体" w:eastAsia="宋体"/>
                <w:sz w:val="21"/>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5.1</w:t>
            </w:r>
          </w:p>
        </w:tc>
        <w:tc>
          <w:tcPr>
            <w:tcW w:w="1606" w:type="dxa"/>
            <w:vMerge w:val="restart"/>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履约能力 </w:t>
            </w:r>
          </w:p>
          <w:p>
            <w:pPr>
              <w:pStyle w:val="2"/>
              <w:ind w:firstLine="211" w:firstLineChars="100"/>
              <w:rPr>
                <w:rFonts w:eastAsia="宋体"/>
                <w:sz w:val="21"/>
                <w:szCs w:val="21"/>
              </w:rPr>
            </w:pPr>
            <w:r>
              <w:rPr>
                <w:rFonts w:hint="eastAsia" w:eastAsia="宋体"/>
                <w:b/>
                <w:bCs/>
                <w:sz w:val="21"/>
                <w:szCs w:val="21"/>
              </w:rPr>
              <w:t>（20分）</w:t>
            </w:r>
          </w:p>
        </w:tc>
        <w:tc>
          <w:tcPr>
            <w:tcW w:w="6929" w:type="dxa"/>
            <w:tcBorders>
              <w:top w:val="single" w:color="auto" w:sz="4" w:space="0"/>
              <w:left w:val="single" w:color="auto" w:sz="4" w:space="0"/>
              <w:bottom w:val="single" w:color="auto" w:sz="4" w:space="0"/>
              <w:right w:val="single" w:color="auto" w:sz="4" w:space="0"/>
            </w:tcBorders>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项目经理及相关人员情况：项目经理具有一级建造师证书得3分，具有二级建造师证书得2分，其他不得分，最高得5分。（5分）</w:t>
            </w:r>
          </w:p>
          <w:p>
            <w:pPr>
              <w:adjustRightInd/>
              <w:jc w:val="left"/>
              <w:textAlignment w:val="auto"/>
              <w:rPr>
                <w:rFonts w:hAnsi="宋体" w:eastAsia="宋体"/>
                <w:sz w:val="21"/>
              </w:rPr>
            </w:pPr>
            <w:r>
              <w:rPr>
                <w:rFonts w:hint="eastAsia" w:cs="宋体" w:asciiTheme="minorEastAsia" w:hAnsiTheme="minorEastAsia" w:eastAsiaTheme="minorEastAsia"/>
                <w:sz w:val="21"/>
              </w:rPr>
              <w:t>5、安全文明施工：根据供应商对安全文明施工的认识及合理性打分，较好3-2分，一般1分，其他0分。（3分）。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5.2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bottom w:val="single" w:color="auto" w:sz="4" w:space="0"/>
              <w:right w:val="single" w:color="auto" w:sz="4" w:space="0"/>
            </w:tcBorders>
            <w:vAlign w:val="center"/>
          </w:tcPr>
          <w:p>
            <w:pPr>
              <w:snapToGrid w:val="0"/>
              <w:ind w:firstLine="420" w:firstLineChars="200"/>
              <w:rPr>
                <w:rStyle w:val="16"/>
                <w:rFonts w:hAnsi="宋体" w:eastAsia="宋体"/>
                <w:b w:val="0"/>
                <w:bCs w:val="0"/>
                <w:sz w:val="21"/>
              </w:rPr>
            </w:pPr>
            <w:r>
              <w:rPr>
                <w:rStyle w:val="16"/>
                <w:rFonts w:hint="eastAsia" w:hAnsi="宋体" w:eastAsia="宋体"/>
                <w:b w:val="0"/>
                <w:bCs w:val="0"/>
                <w:sz w:val="21"/>
              </w:rPr>
              <w:t>供应商具有ISO9001质量管理体系认证证书、OHSAS18001职业健康安全管理体系认证证书和ISO14001环境管理体系认证证书的，每提供1项得1分，本项最高得3分（提供上述相关认证证书复印件并加盖公章，原件备查）。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vAlign w:val="center"/>
          </w:tcPr>
          <w:p>
            <w:pPr>
              <w:widowControl/>
              <w:ind w:firstLine="211" w:firstLineChars="100"/>
              <w:jc w:val="center"/>
              <w:rPr>
                <w:rFonts w:hAnsi="宋体" w:eastAsia="宋体"/>
                <w:sz w:val="21"/>
              </w:rPr>
            </w:pPr>
            <w:r>
              <w:rPr>
                <w:rFonts w:hint="eastAsia" w:hAnsi="宋体" w:eastAsia="宋体"/>
                <w:b/>
                <w:bCs/>
                <w:sz w:val="21"/>
              </w:rPr>
              <w:t>合计</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eastAsia="宋体"/>
                <w:b/>
                <w:bCs/>
                <w:sz w:val="21"/>
              </w:rPr>
            </w:pPr>
            <w:r>
              <w:rPr>
                <w:rFonts w:hint="eastAsia" w:hAnsi="宋体" w:eastAsia="宋体"/>
                <w:b/>
                <w:bCs/>
                <w:sz w:val="21"/>
              </w:rPr>
              <w:t>100</w:t>
            </w:r>
          </w:p>
        </w:tc>
      </w:tr>
      <w:bookmarkEnd w:id="80"/>
      <w:bookmarkEnd w:id="81"/>
    </w:tbl>
    <w:p>
      <w:pPr>
        <w:pStyle w:val="2"/>
        <w:ind w:firstLine="420"/>
        <w:rPr>
          <w:rFonts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宋体" w:asciiTheme="minorEastAsia" w:hAnsiTheme="minorEastAsia" w:eastAsiaTheme="minorEastAsia"/>
          <w:sz w:val="21"/>
        </w:rPr>
      </w:pPr>
      <w:r>
        <w:rPr>
          <w:rFonts w:hint="eastAsia" w:asciiTheme="minorEastAsia" w:hAnsiTheme="minorEastAsia" w:eastAsiaTheme="minorEastAsia"/>
          <w:sz w:val="21"/>
        </w:rPr>
        <w:t>（2）供应商须保证所提供资料的真实性，</w:t>
      </w:r>
      <w:r>
        <w:rPr>
          <w:rFonts w:hint="eastAsia" w:cs="宋体" w:asciiTheme="minorEastAsia" w:hAnsiTheme="minorEastAsia" w:eastAsiaTheme="minorEastAsia"/>
          <w:sz w:val="21"/>
        </w:rPr>
        <w:t>采购人</w:t>
      </w:r>
      <w:r>
        <w:rPr>
          <w:rFonts w:cs="宋体" w:asciiTheme="minorEastAsia" w:hAnsiTheme="minorEastAsia" w:eastAsiaTheme="minorEastAsia"/>
          <w:sz w:val="21"/>
        </w:rPr>
        <w:t>有权在</w:t>
      </w:r>
      <w:r>
        <w:rPr>
          <w:rFonts w:hint="eastAsia" w:cs="宋体" w:asciiTheme="minorEastAsia" w:hAnsiTheme="minorEastAsia" w:eastAsiaTheme="minorEastAsia"/>
          <w:sz w:val="21"/>
        </w:rPr>
        <w:t>磋商</w:t>
      </w:r>
      <w:r>
        <w:rPr>
          <w:rFonts w:cs="宋体" w:asciiTheme="minorEastAsia" w:hAnsiTheme="minorEastAsia" w:eastAsiaTheme="minorEastAsia"/>
          <w:sz w:val="21"/>
        </w:rPr>
        <w:t>的任何阶段进行调查和核实</w:t>
      </w:r>
      <w:r>
        <w:rPr>
          <w:rFonts w:hint="eastAsia" w:cs="宋体" w:asciiTheme="minorEastAsia" w:hAnsiTheme="minorEastAsia" w:eastAsiaTheme="minorEastAsia"/>
          <w:sz w:val="21"/>
        </w:rPr>
        <w:t>，</w:t>
      </w:r>
      <w:r>
        <w:rPr>
          <w:rFonts w:cs="宋体" w:asciiTheme="minorEastAsia" w:hAnsiTheme="minorEastAsia" w:eastAsiaTheme="minorEastAsia"/>
          <w:sz w:val="21"/>
        </w:rPr>
        <w:t>一</w:t>
      </w:r>
      <w:r>
        <w:rPr>
          <w:rFonts w:hint="eastAsia" w:cs="宋体" w:asciiTheme="minorEastAsia" w:hAnsiTheme="minorEastAsia" w:eastAsiaTheme="minorEastAsia"/>
          <w:sz w:val="21"/>
        </w:rPr>
        <w:t>经</w:t>
      </w:r>
      <w:r>
        <w:rPr>
          <w:rFonts w:cs="宋体" w:asciiTheme="minorEastAsia" w:hAnsiTheme="minorEastAsia" w:eastAsiaTheme="minorEastAsia"/>
          <w:sz w:val="21"/>
        </w:rPr>
        <w:t>发现虚假</w:t>
      </w:r>
      <w:r>
        <w:rPr>
          <w:rFonts w:hint="eastAsia" w:cs="宋体" w:asciiTheme="minorEastAsia" w:hAnsiTheme="minorEastAsia" w:eastAsiaTheme="minorEastAsia"/>
          <w:sz w:val="21"/>
        </w:rPr>
        <w:t>，</w:t>
      </w:r>
      <w:r>
        <w:rPr>
          <w:rFonts w:cs="宋体" w:asciiTheme="minorEastAsia" w:hAnsiTheme="minorEastAsia" w:eastAsiaTheme="minorEastAsia"/>
          <w:sz w:val="21"/>
        </w:rPr>
        <w:t>取消其</w:t>
      </w:r>
      <w:r>
        <w:rPr>
          <w:rFonts w:hint="eastAsia" w:cs="宋体" w:asciiTheme="minorEastAsia" w:hAnsiTheme="minorEastAsia" w:eastAsiaTheme="minorEastAsia"/>
          <w:sz w:val="21"/>
        </w:rPr>
        <w:t>响应</w:t>
      </w:r>
      <w:r>
        <w:rPr>
          <w:rFonts w:cs="宋体" w:asciiTheme="minorEastAsia" w:hAnsiTheme="minorEastAsia" w:eastAsiaTheme="minorEastAsia"/>
          <w:sz w:val="21"/>
        </w:rPr>
        <w:t>资格</w:t>
      </w:r>
      <w:r>
        <w:rPr>
          <w:rFonts w:hint="eastAsia" w:cs="宋体" w:asciiTheme="minorEastAsia" w:hAnsiTheme="minorEastAsia" w:eastAsiaTheme="minorEastAsia"/>
          <w:sz w:val="21"/>
        </w:rPr>
        <w:t>；</w:t>
      </w:r>
      <w:r>
        <w:rPr>
          <w:rFonts w:cs="宋体" w:asciiTheme="minorEastAsia" w:hAnsiTheme="minorEastAsia" w:eastAsiaTheme="minorEastAsia"/>
          <w:sz w:val="21"/>
        </w:rPr>
        <w:t>已</w:t>
      </w:r>
      <w:r>
        <w:rPr>
          <w:rFonts w:hint="eastAsia" w:cs="宋体" w:asciiTheme="minorEastAsia" w:hAnsiTheme="minorEastAsia" w:eastAsiaTheme="minorEastAsia"/>
          <w:sz w:val="21"/>
        </w:rPr>
        <w:t>成交</w:t>
      </w:r>
      <w:r>
        <w:rPr>
          <w:rFonts w:cs="宋体" w:asciiTheme="minorEastAsia" w:hAnsiTheme="minorEastAsia" w:eastAsiaTheme="minorEastAsia"/>
          <w:sz w:val="21"/>
        </w:rPr>
        <w:t>的，取消其</w:t>
      </w:r>
      <w:r>
        <w:rPr>
          <w:rFonts w:hint="eastAsia" w:cs="宋体" w:asciiTheme="minorEastAsia" w:hAnsiTheme="minorEastAsia" w:eastAsiaTheme="minorEastAsia"/>
          <w:sz w:val="21"/>
        </w:rPr>
        <w:t>成交</w:t>
      </w:r>
      <w:r>
        <w:rPr>
          <w:rFonts w:cs="宋体" w:asciiTheme="minorEastAsia" w:hAnsiTheme="minorEastAsia" w:eastAsiaTheme="minorEastAsia"/>
          <w:sz w:val="21"/>
        </w:rPr>
        <w:t>资格</w:t>
      </w:r>
      <w:r>
        <w:rPr>
          <w:rFonts w:hint="eastAsia" w:cs="宋体" w:asciiTheme="minorEastAsia" w:hAnsiTheme="minorEastAsia" w:eastAsiaTheme="minorEastAsia"/>
          <w:sz w:val="21"/>
        </w:rPr>
        <w:t>；</w:t>
      </w:r>
      <w:r>
        <w:rPr>
          <w:rFonts w:cs="宋体" w:asciiTheme="minorEastAsia" w:hAnsiTheme="minorEastAsia" w:eastAsiaTheme="minorEastAsia"/>
          <w:sz w:val="21"/>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82" w:name="_Toc6960"/>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2"/>
    </w:p>
    <w:p>
      <w:pPr>
        <w:spacing w:line="500" w:lineRule="exact"/>
        <w:rPr>
          <w:rFonts w:hAnsi="宋体"/>
          <w:b/>
          <w:szCs w:val="28"/>
        </w:rPr>
      </w:pPr>
      <w:bookmarkStart w:id="83" w:name="_Toc304906083"/>
      <w:r>
        <w:rPr>
          <w:rFonts w:hint="eastAsia" w:hAnsi="宋体"/>
          <w:b/>
          <w:szCs w:val="28"/>
        </w:rPr>
        <w:t>合同样式（参考江苏省省级行政机关采工程类协议供货系统内合同）</w:t>
      </w:r>
    </w:p>
    <w:p>
      <w:pPr>
        <w:spacing w:line="500" w:lineRule="exact"/>
        <w:rPr>
          <w:rFonts w:hAnsi="宋体" w:cs="宋体"/>
          <w:color w:val="000000"/>
          <w:sz w:val="24"/>
        </w:rPr>
      </w:pPr>
      <w:r>
        <w:rPr>
          <w:rFonts w:hint="eastAsia" w:hAnsi="宋体"/>
          <w:color w:val="FF0000"/>
          <w:sz w:val="24"/>
          <w:szCs w:val="24"/>
        </w:rPr>
        <w:t>所有合同条款不经甲方许可，乙方无权修改，补充条款请仔细研读。</w:t>
      </w: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开工日期：2019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竣工工期：2019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合同订立时间：2019年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3"/>
        <w:keepNext w:val="0"/>
        <w:keepLines w:val="0"/>
        <w:jc w:val="center"/>
        <w:rPr>
          <w:rFonts w:asciiTheme="minorEastAsia" w:hAnsiTheme="minorEastAsia" w:eastAsiaTheme="minorEastAsia" w:cstheme="majorEastAsia"/>
          <w:sz w:val="24"/>
          <w:szCs w:val="24"/>
        </w:rPr>
      </w:pPr>
      <w:bookmarkStart w:id="84" w:name="_Toc9903"/>
      <w:r>
        <w:rPr>
          <w:rFonts w:hint="eastAsia" w:asciiTheme="minorEastAsia" w:hAnsiTheme="minorEastAsia" w:eastAsiaTheme="minorEastAsia" w:cstheme="majorEastAsia"/>
          <w:sz w:val="24"/>
          <w:szCs w:val="24"/>
        </w:rPr>
        <w:t xml:space="preserve">第五章  </w:t>
      </w:r>
      <w:bookmarkEnd w:id="83"/>
      <w:r>
        <w:rPr>
          <w:rFonts w:hint="eastAsia" w:asciiTheme="minorEastAsia" w:hAnsiTheme="minorEastAsia" w:eastAsiaTheme="minorEastAsia" w:cstheme="majorEastAsia"/>
          <w:sz w:val="24"/>
          <w:szCs w:val="24"/>
        </w:rPr>
        <w:t>采购项目的技术规格、要求和数量等</w:t>
      </w:r>
      <w:bookmarkEnd w:id="84"/>
    </w:p>
    <w:bookmarkEnd w:id="20"/>
    <w:bookmarkEnd w:id="21"/>
    <w:bookmarkEnd w:id="22"/>
    <w:bookmarkEnd w:id="23"/>
    <w:bookmarkEnd w:id="24"/>
    <w:bookmarkEnd w:id="64"/>
    <w:p>
      <w:pPr>
        <w:ind w:firstLine="411" w:firstLineChars="196"/>
        <w:rPr>
          <w:rFonts w:cs="宋体" w:asciiTheme="minorEastAsia" w:hAnsiTheme="minorEastAsia" w:eastAsiaTheme="minorEastAsia"/>
          <w:sz w:val="21"/>
        </w:rPr>
      </w:pPr>
      <w:bookmarkStart w:id="85" w:name="_Toc403987220"/>
      <w:r>
        <w:rPr>
          <w:rFonts w:hint="eastAsia" w:cs="宋体" w:asciiTheme="minorEastAsia" w:hAnsiTheme="minorEastAsia" w:eastAsiaTheme="minorEastAsia"/>
          <w:sz w:val="21"/>
        </w:rPr>
        <w:t>一、项目名称：</w:t>
      </w:r>
      <w:r>
        <w:rPr>
          <w:rFonts w:hint="eastAsia" w:asciiTheme="minorEastAsia" w:hAnsiTheme="minorEastAsia" w:eastAsiaTheme="minorEastAsia" w:cstheme="minorEastAsia"/>
          <w:bCs/>
          <w:kern w:val="2"/>
          <w:sz w:val="21"/>
        </w:rPr>
        <w:t>建筑装饰材料与构造工程</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二、项目控制价：人民币60万。</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三、项目内容：</w:t>
      </w:r>
      <w:r>
        <w:rPr>
          <w:rFonts w:hint="eastAsia" w:asciiTheme="minorEastAsia" w:hAnsiTheme="minorEastAsia" w:eastAsiaTheme="minorEastAsia" w:cstheme="minorEastAsia"/>
          <w:bCs/>
          <w:kern w:val="2"/>
          <w:sz w:val="21"/>
        </w:rPr>
        <w:t>建筑装饰材料与构造工程</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按照甲方提供的平面布置图及设计意向，对建筑工程学院四楼东的实训室进行方案深化设计及绘制施工图纸一套。设计内容包含：四楼东实训室入口外立面，四楼东实训室内部，以及四楼东实训室东端露台部分。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根据甲方提供的工程量预估清单，进行清单报价，最终造价以施工图纸为准。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2019-2020年度江苏省省级机关、事业单位限额内</w:t>
      </w:r>
      <w:r>
        <w:rPr>
          <w:rFonts w:hint="eastAsia" w:asciiTheme="minorEastAsia" w:hAnsiTheme="minorEastAsia" w:eastAsiaTheme="minorEastAsia" w:cstheme="minorEastAsia"/>
          <w:bCs/>
          <w:snapToGrid w:val="0"/>
          <w:sz w:val="21"/>
        </w:rPr>
        <w:t>工程定点入围供应商</w:t>
      </w:r>
      <w:r>
        <w:rPr>
          <w:rFonts w:hint="eastAsia" w:cs="宋体" w:asciiTheme="minorEastAsia" w:hAnsiTheme="minorEastAsia" w:eastAsiaTheme="minorEastAsia"/>
          <w:sz w:val="21"/>
        </w:rPr>
        <w:t>。</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响应商提供设计方案和设计图纸，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8、单项工程提供详细施工技术方案及未来清单报价表（含综合单价分析表等），并附光盘。</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开工日期以甲方通知为准。施工现场要保证不影响正常教学和办公。施工完成时间不超过2019年12月30日。</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pStyle w:val="2"/>
        <w:numPr>
          <w:ilvl w:val="0"/>
          <w:numId w:val="3"/>
        </w:numPr>
        <w:ind w:firstLine="420"/>
        <w:rPr>
          <w:rFonts w:asciiTheme="minorEastAsia" w:hAnsiTheme="minorEastAsia" w:eastAsiaTheme="minorEastAsia"/>
          <w:sz w:val="21"/>
        </w:rPr>
      </w:pPr>
      <w:r>
        <w:rPr>
          <w:rFonts w:hint="eastAsia" w:asciiTheme="minorEastAsia" w:hAnsiTheme="minorEastAsia" w:eastAsiaTheme="minorEastAsia"/>
          <w:sz w:val="21"/>
        </w:rPr>
        <w:t>材料及工程量清单</w:t>
      </w:r>
    </w:p>
    <w:tbl>
      <w:tblPr>
        <w:tblStyle w:val="14"/>
        <w:tblpPr w:leftFromText="180" w:rightFromText="180" w:vertAnchor="text" w:horzAnchor="page" w:tblpX="1474" w:tblpY="449"/>
        <w:tblOverlap w:val="never"/>
        <w:tblW w:w="9071" w:type="dxa"/>
        <w:tblInd w:w="0" w:type="dxa"/>
        <w:tblLayout w:type="fixed"/>
        <w:tblCellMar>
          <w:top w:w="0" w:type="dxa"/>
          <w:left w:w="0" w:type="dxa"/>
          <w:bottom w:w="0" w:type="dxa"/>
          <w:right w:w="0" w:type="dxa"/>
        </w:tblCellMar>
      </w:tblPr>
      <w:tblGrid>
        <w:gridCol w:w="504"/>
        <w:gridCol w:w="945"/>
        <w:gridCol w:w="1481"/>
        <w:gridCol w:w="2433"/>
        <w:gridCol w:w="344"/>
        <w:gridCol w:w="506"/>
        <w:gridCol w:w="1238"/>
        <w:gridCol w:w="1620"/>
      </w:tblGrid>
      <w:tr>
        <w:tblPrEx>
          <w:tblLayout w:type="fixed"/>
          <w:tblCellMar>
            <w:top w:w="0" w:type="dxa"/>
            <w:left w:w="0" w:type="dxa"/>
            <w:bottom w:w="0" w:type="dxa"/>
            <w:right w:w="0" w:type="dxa"/>
          </w:tblCellMar>
        </w:tblPrEx>
        <w:trPr>
          <w:trHeight w:val="720" w:hRule="atLeast"/>
        </w:trPr>
        <w:tc>
          <w:tcPr>
            <w:tcW w:w="9071"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36"/>
                <w:szCs w:val="36"/>
              </w:rPr>
            </w:pPr>
            <w:r>
              <w:rPr>
                <w:rFonts w:hint="eastAsia" w:hAnsi="宋体" w:eastAsia="宋体" w:cs="宋体"/>
                <w:b/>
                <w:color w:val="000000"/>
                <w:sz w:val="36"/>
                <w:szCs w:val="36"/>
                <w:lang w:bidi="ar"/>
              </w:rPr>
              <w:t>建筑工程学院装饰实训室拟采用各种材料及工程量清单</w:t>
            </w:r>
          </w:p>
        </w:tc>
      </w:tr>
      <w:tr>
        <w:tblPrEx>
          <w:tblLayout w:type="fixed"/>
          <w:tblCellMar>
            <w:top w:w="0" w:type="dxa"/>
            <w:left w:w="0" w:type="dxa"/>
            <w:bottom w:w="0" w:type="dxa"/>
            <w:right w:w="0" w:type="dxa"/>
          </w:tblCellMar>
        </w:tblPrEx>
        <w:trPr>
          <w:trHeight w:val="79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序号</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位置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硬装项目</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说明</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单位</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工程量</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2"/>
                <w:szCs w:val="22"/>
              </w:rPr>
            </w:pPr>
            <w:r>
              <w:rPr>
                <w:rFonts w:hint="eastAsia" w:hAnsi="宋体" w:eastAsia="宋体" w:cs="宋体"/>
                <w:b/>
                <w:color w:val="000000"/>
                <w:sz w:val="22"/>
                <w:szCs w:val="22"/>
                <w:lang w:bidi="ar"/>
              </w:rPr>
              <w:t>材料样品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b/>
                <w:color w:val="000000"/>
                <w:sz w:val="20"/>
                <w:szCs w:val="20"/>
              </w:rPr>
            </w:pPr>
            <w:r>
              <w:rPr>
                <w:rFonts w:hint="eastAsia" w:hAnsi="宋体" w:eastAsia="宋体" w:cs="宋体"/>
                <w:b/>
                <w:color w:val="000000"/>
                <w:sz w:val="20"/>
                <w:szCs w:val="20"/>
                <w:lang w:bidi="ar"/>
              </w:rPr>
              <w:t>备注（软装及设备）</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外墙及屋面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外墙防水</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防水卷材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东方雨虹、德高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SBS改性沥青防水卷材</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原始墙</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拆除</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拆除玻璃及砖墙、铲墙皮</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拆除至毛坯状态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拆除垃圾清运出校园</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展厅外立面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外立面及入口门</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立面处理及门</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展厅区域</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个</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新建墙体</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新建红砖墙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新建加气块墙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新建轻钢龙骨墙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各种材料小样</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吊顶</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吊灯及壁灯装饰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158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冲孔铝板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2mm厚</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各类吊顶展示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180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155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水磨石</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PVC塑胶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各类地面展示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350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造型饰面</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展柜、展台定制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各类工艺墙展示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烤漆玻璃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单身公寓区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地砖及石材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装饰材料兼模型</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沙发及床等软装配饰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地板（不同类型木地板）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落地灯、台灯及吊灯</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防水</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地毯成品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烟机灶台样品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墙布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冰箱样品</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硬包</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定制的鞋柜及衣柜等</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定制橱柜</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窗台板、不锈钢、亚克力</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台盆、马桶及花洒</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墙砖、乳胶漆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玻璃隔断、石材挡水</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集成吊顶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乳胶漆及木质吊顶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教室教学区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插座面板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39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水磨石或砖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含桌椅板凳及讲台</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含窗帘布艺</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白色乳胶漆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电子黑板及音响系统</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Ansi="宋体" w:eastAsia="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含吊麦音响</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白色乳胶漆及墙面软包装饰处理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阳台户外施工场地区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按施工场地布置（部分铺设地砖）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花池绿植草坪等</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防水户外涂料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85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石凳鹅卵石等</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户外灯具</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景观照明灯具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16</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Ansi="宋体" w:eastAsia="宋体" w:cs="宋体"/>
                <w:color w:val="000000"/>
                <w:sz w:val="22"/>
                <w:szCs w:val="22"/>
              </w:rPr>
            </w:pPr>
            <w:r>
              <w:rPr>
                <w:rFonts w:hint="eastAsia" w:hAnsi="宋体" w:eastAsia="宋体" w:cs="宋体"/>
                <w:color w:val="000000"/>
                <w:sz w:val="22"/>
                <w:szCs w:val="22"/>
                <w:lang w:bidi="ar"/>
              </w:rPr>
              <w:t>零星项目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各种材料小样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Ansi="宋体" w:eastAsia="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49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构造节点展示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Ansi="宋体" w:eastAsia="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58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施工场</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常用施工设备器具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木工、瓦工、水电工、油漆工等常用工具</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51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Ansi="宋体" w:eastAsia="宋体" w:cs="宋体"/>
                <w:color w:val="000000"/>
                <w:sz w:val="22"/>
                <w:szCs w:val="22"/>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墙面标识牌</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2"/>
                <w:szCs w:val="22"/>
              </w:rPr>
            </w:pPr>
            <w:r>
              <w:rPr>
                <w:rFonts w:hint="eastAsia" w:hAnsi="宋体" w:eastAsia="宋体" w:cs="宋体"/>
                <w:color w:val="000000"/>
                <w:sz w:val="22"/>
                <w:szCs w:val="22"/>
                <w:lang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Ansi="宋体" w:eastAsia="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idowControl/>
              <w:jc w:val="center"/>
              <w:textAlignment w:val="bottom"/>
              <w:rPr>
                <w:rFonts w:hAnsi="宋体" w:eastAsia="宋体" w:cs="宋体"/>
                <w:color w:val="000000"/>
                <w:sz w:val="20"/>
                <w:szCs w:val="20"/>
              </w:rPr>
            </w:pPr>
            <w:r>
              <w:rPr>
                <w:rFonts w:hint="eastAsia" w:hAnsi="宋体" w:eastAsia="宋体" w:cs="宋体"/>
                <w:color w:val="000000"/>
                <w:sz w:val="20"/>
                <w:szCs w:val="20"/>
                <w:lang w:bidi="ar"/>
              </w:rPr>
              <w:t>详见备注说明</w:t>
            </w:r>
          </w:p>
        </w:tc>
      </w:tr>
      <w:tr>
        <w:tblPrEx>
          <w:tblLayout w:type="fixed"/>
          <w:tblCellMar>
            <w:top w:w="0" w:type="dxa"/>
            <w:left w:w="0" w:type="dxa"/>
            <w:bottom w:w="0" w:type="dxa"/>
            <w:right w:w="0" w:type="dxa"/>
          </w:tblCellMar>
        </w:tblPrEx>
        <w:trPr>
          <w:trHeight w:val="468" w:hRule="atLeast"/>
        </w:trPr>
        <w:tc>
          <w:tcPr>
            <w:tcW w:w="9071"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widowControl/>
              <w:jc w:val="left"/>
              <w:textAlignment w:val="top"/>
              <w:rPr>
                <w:rFonts w:hAnsi="宋体" w:eastAsia="宋体" w:cs="宋体"/>
                <w:color w:val="000000"/>
                <w:sz w:val="22"/>
                <w:szCs w:val="22"/>
              </w:rPr>
            </w:pPr>
            <w:r>
              <w:rPr>
                <w:rFonts w:hint="eastAsia" w:hAnsi="宋体" w:eastAsia="宋体" w:cs="宋体"/>
                <w:color w:val="000000"/>
                <w:sz w:val="22"/>
                <w:szCs w:val="22"/>
                <w:lang w:bidi="ar"/>
              </w:rPr>
              <w:t>主要材料品牌要求：</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1、锁具、五金配件、品牌：名门、道鲁、KLC、卡贝等同档次或高于此档次产品；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2、LED平板灯品牌(600*600)：欧普、雷士照明、佛山照明等同档次或高于此档次产品；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3、电线品牌：远东、正泰、德力西等同档次或高于此档次产品；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4、开关品牌：德力西、国标电工、美家格力等同档次或高于此档次产品；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5、网线品牌：安普、普天等同档次或高于此档次六类线产品；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6、油漆涂料品牌：天祥、多乐士、立邦、亚士等同档次或高于此档次产品；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7、硅钙板品牌：中新北龙、泰山石膏、龙牌、可耐福等同档次或高于此档次产品；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8、吊顶龙骨品牌：龙牌、拉法基、可耐福等同档次或高于此档次产品。</w:t>
            </w:r>
            <w:r>
              <w:rPr>
                <w:rFonts w:hint="eastAsia" w:hAnsi="宋体" w:eastAsia="宋体" w:cs="宋体"/>
                <w:color w:val="000000"/>
                <w:sz w:val="22"/>
                <w:szCs w:val="22"/>
                <w:lang w:bidi="ar"/>
              </w:rPr>
              <w:br w:type="textWrapping"/>
            </w:r>
            <w:r>
              <w:rPr>
                <w:rFonts w:hint="eastAsia" w:hAnsi="宋体" w:eastAsia="宋体" w:cs="宋体"/>
                <w:color w:val="000000"/>
                <w:sz w:val="22"/>
                <w:szCs w:val="22"/>
                <w:lang w:bidi="ar"/>
              </w:rPr>
              <w:t>9、清单数量为预估数量，具体以施工单位深化图纸为准。</w:t>
            </w: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r>
        <w:tblPrEx>
          <w:tblLayout w:type="fixed"/>
          <w:tblCellMar>
            <w:top w:w="0" w:type="dxa"/>
            <w:left w:w="0" w:type="dxa"/>
            <w:bottom w:w="0" w:type="dxa"/>
            <w:right w:w="0" w:type="dxa"/>
          </w:tblCellMar>
        </w:tblPrEx>
        <w:trPr>
          <w:trHeight w:val="468"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cPr>
          <w:p>
            <w:pPr>
              <w:jc w:val="left"/>
              <w:rPr>
                <w:rFonts w:hAnsi="宋体" w:eastAsia="宋体" w:cs="宋体"/>
                <w:color w:val="000000"/>
                <w:sz w:val="22"/>
                <w:szCs w:val="22"/>
              </w:rPr>
            </w:pPr>
          </w:p>
        </w:tc>
      </w:tr>
    </w:tbl>
    <w:p>
      <w:pPr>
        <w:pStyle w:val="2"/>
        <w:ind w:firstLine="0" w:firstLineChars="0"/>
        <w:rPr>
          <w:rFonts w:asciiTheme="minorEastAsia" w:hAnsiTheme="minorEastAsia" w:eastAsiaTheme="minorEastAsia" w:cstheme="majorEastAsia"/>
          <w:sz w:val="36"/>
          <w:szCs w:val="36"/>
        </w:rPr>
      </w:pPr>
    </w:p>
    <w:p>
      <w:pPr>
        <w:pStyle w:val="3"/>
        <w:keepNext w:val="0"/>
        <w:keepLines w:val="0"/>
        <w:jc w:val="center"/>
        <w:rPr>
          <w:rFonts w:hint="eastAsia" w:asciiTheme="minorEastAsia" w:hAnsiTheme="minorEastAsia" w:eastAsiaTheme="minorEastAsia" w:cstheme="majorEastAsia"/>
          <w:sz w:val="36"/>
          <w:szCs w:val="36"/>
        </w:rPr>
      </w:pPr>
    </w:p>
    <w:p>
      <w:pPr>
        <w:pStyle w:val="3"/>
        <w:keepNext w:val="0"/>
        <w:keepLines w:val="0"/>
        <w:jc w:val="center"/>
        <w:rPr>
          <w:rFonts w:hint="eastAsia" w:asciiTheme="minorEastAsia" w:hAnsiTheme="minorEastAsia" w:eastAsiaTheme="minorEastAsia" w:cstheme="majorEastAsia"/>
          <w:sz w:val="36"/>
          <w:szCs w:val="36"/>
        </w:rPr>
      </w:pPr>
    </w:p>
    <w:p>
      <w:pPr>
        <w:pStyle w:val="3"/>
        <w:keepNext w:val="0"/>
        <w:keepLines w:val="0"/>
        <w:jc w:val="center"/>
        <w:rPr>
          <w:rFonts w:hint="eastAsia" w:asciiTheme="minorEastAsia" w:hAnsiTheme="minorEastAsia" w:eastAsiaTheme="minorEastAsia" w:cstheme="majorEastAsia"/>
          <w:sz w:val="36"/>
          <w:szCs w:val="36"/>
        </w:rPr>
      </w:pPr>
    </w:p>
    <w:p>
      <w:pPr>
        <w:pStyle w:val="3"/>
        <w:keepNext w:val="0"/>
        <w:keepLines w:val="0"/>
        <w:jc w:val="center"/>
        <w:rPr>
          <w:rFonts w:asciiTheme="minorEastAsia" w:hAnsiTheme="minorEastAsia" w:eastAsiaTheme="minorEastAsia" w:cstheme="majorEastAsia"/>
          <w:sz w:val="36"/>
          <w:szCs w:val="36"/>
        </w:rPr>
      </w:pPr>
      <w:bookmarkStart w:id="86" w:name="_Toc10158"/>
      <w:r>
        <w:rPr>
          <w:rFonts w:hint="eastAsia" w:asciiTheme="minorEastAsia" w:hAnsiTheme="minorEastAsia" w:eastAsiaTheme="minorEastAsia" w:cstheme="majorEastAsia"/>
          <w:sz w:val="36"/>
          <w:szCs w:val="36"/>
        </w:rPr>
        <w:t>第六章  响应文件格式</w:t>
      </w:r>
      <w:bookmarkEnd w:id="85"/>
      <w:bookmarkEnd w:id="86"/>
    </w:p>
    <w:p>
      <w:pPr>
        <w:jc w:val="center"/>
        <w:rPr>
          <w:rFonts w:asciiTheme="minorEastAsia" w:hAnsiTheme="minorEastAsia" w:eastAsiaTheme="minorEastAsia"/>
          <w:b/>
          <w:sz w:val="72"/>
        </w:rPr>
      </w:pPr>
      <w:bookmarkStart w:id="87" w:name="_Hlt26955039"/>
      <w:bookmarkEnd w:id="87"/>
      <w:bookmarkStart w:id="88" w:name="_Hlt26671244"/>
      <w:bookmarkEnd w:id="88"/>
      <w:bookmarkStart w:id="89" w:name="_Toc120614282"/>
      <w:bookmarkStart w:id="90" w:name="_Toc49090576"/>
      <w:bookmarkStart w:id="91"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9"/>
    <w:bookmarkEnd w:id="90"/>
    <w:bookmarkEnd w:id="91"/>
    <w:p>
      <w:pPr>
        <w:widowControl/>
        <w:adjustRightInd/>
        <w:spacing w:line="240" w:lineRule="auto"/>
        <w:jc w:val="center"/>
        <w:textAlignment w:val="auto"/>
        <w:rPr>
          <w:rStyle w:val="24"/>
          <w:rFonts w:asciiTheme="minorEastAsia" w:hAnsiTheme="minorEastAsia" w:eastAsiaTheme="minorEastAsia"/>
          <w:color w:val="auto"/>
        </w:rPr>
      </w:pPr>
      <w:r>
        <w:rPr>
          <w:rFonts w:asciiTheme="minorEastAsia" w:hAnsiTheme="minorEastAsia" w:eastAsiaTheme="minorEastAsia"/>
          <w:b/>
          <w:sz w:val="30"/>
          <w:szCs w:val="30"/>
        </w:rPr>
        <w:br w:type="page"/>
      </w:r>
      <w:r>
        <w:rPr>
          <w:rStyle w:val="24"/>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2018年度财务状况报告（复印件加盖公章）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序号</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评分</w:t>
            </w:r>
          </w:p>
          <w:p>
            <w:pPr>
              <w:jc w:val="center"/>
              <w:rPr>
                <w:rFonts w:hAnsi="宋体" w:eastAsia="宋体"/>
                <w:b/>
                <w:sz w:val="21"/>
              </w:rPr>
            </w:pPr>
            <w:r>
              <w:rPr>
                <w:rFonts w:hint="eastAsia" w:hAnsi="宋体" w:eastAsia="宋体"/>
                <w:b/>
                <w:sz w:val="21"/>
              </w:rPr>
              <w:t>因素</w:t>
            </w:r>
          </w:p>
        </w:tc>
        <w:tc>
          <w:tcPr>
            <w:tcW w:w="6929"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评审标准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sz w:val="21"/>
              </w:rPr>
            </w:pPr>
            <w:r>
              <w:rPr>
                <w:rFonts w:hint="eastAsia" w:hAnsi="宋体" w:eastAsia="宋体"/>
                <w:b/>
                <w:sz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w:t>
            </w:r>
          </w:p>
        </w:tc>
        <w:tc>
          <w:tcPr>
            <w:tcW w:w="1606"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 价格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bottom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评标采用低价优先的方法，即满足招标文件要求的最低价的报价为评标基准价，其价格分为满分。</w:t>
            </w:r>
          </w:p>
          <w:p>
            <w:pPr>
              <w:ind w:firstLine="420" w:firstLineChars="200"/>
              <w:rPr>
                <w:rFonts w:hAnsi="宋体" w:eastAsia="宋体"/>
                <w:sz w:val="21"/>
              </w:rPr>
            </w:pPr>
            <w:r>
              <w:rPr>
                <w:rFonts w:hint="eastAsia" w:hAnsi="宋体" w:eastAsia="宋体"/>
                <w:sz w:val="21"/>
              </w:rPr>
              <w:t>其他供应商的价格分按照下列公式计算（小数点保留两位）：</w:t>
            </w:r>
          </w:p>
          <w:p>
            <w:pPr>
              <w:ind w:firstLine="420" w:firstLineChars="200"/>
              <w:rPr>
                <w:rFonts w:hAnsi="宋体" w:eastAsia="宋体"/>
                <w:sz w:val="21"/>
              </w:rPr>
            </w:pPr>
            <w:r>
              <w:rPr>
                <w:rFonts w:hint="eastAsia" w:hAnsi="宋体" w:eastAsia="宋体"/>
                <w:sz w:val="21"/>
              </w:rPr>
              <w:t>投标报价得分=(评标基准价／投标报价)×30。</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2.1</w:t>
            </w:r>
          </w:p>
        </w:tc>
        <w:tc>
          <w:tcPr>
            <w:tcW w:w="1606" w:type="dxa"/>
            <w:vMerge w:val="restart"/>
            <w:tcBorders>
              <w:left w:val="single" w:color="auto" w:sz="4" w:space="0"/>
              <w:right w:val="single" w:color="auto" w:sz="4" w:space="0"/>
            </w:tcBorders>
            <w:vAlign w:val="center"/>
          </w:tcPr>
          <w:p>
            <w:pPr>
              <w:jc w:val="center"/>
              <w:rPr>
                <w:rFonts w:hAnsi="宋体" w:eastAsia="宋体"/>
                <w:sz w:val="21"/>
              </w:rPr>
            </w:pPr>
            <w:r>
              <w:rPr>
                <w:rFonts w:hint="eastAsia" w:hAnsi="宋体" w:eastAsia="宋体"/>
                <w:b/>
                <w:bCs/>
                <w:sz w:val="21"/>
              </w:rPr>
              <w:t>技术</w:t>
            </w:r>
            <w:r>
              <w:rPr>
                <w:rFonts w:hint="eastAsia" w:hAnsi="宋体" w:eastAsia="宋体"/>
                <w:sz w:val="21"/>
              </w:rPr>
              <w:t xml:space="preserve"> </w:t>
            </w:r>
          </w:p>
          <w:p>
            <w:pPr>
              <w:pStyle w:val="2"/>
              <w:ind w:firstLine="211" w:firstLineChars="100"/>
              <w:rPr>
                <w:rFonts w:eastAsia="宋体"/>
                <w:sz w:val="21"/>
                <w:szCs w:val="21"/>
              </w:rPr>
            </w:pPr>
            <w:r>
              <w:rPr>
                <w:rFonts w:hint="eastAsia" w:eastAsia="宋体"/>
                <w:b/>
                <w:bCs/>
                <w:sz w:val="21"/>
                <w:szCs w:val="21"/>
              </w:rPr>
              <w:t>（30分）</w:t>
            </w: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的整体理解程度和设计大纲的前瞻性、科学性、创新性、针对性、合理性和可操作性等方面进行综合评分，对本项目整体理解程度深刻，设计优得8-6分；对本项目具有基本的理解，设计良好得5-3分；对本项目整体理解程度一般，设计一般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lang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8-6分；上述方案具有的全面性、合理性和可操作性一般，满足本项目实际需求，对重难点的把握较准确、分析较透彻且具有一定的针对性的得5-3分；上述方案具有的全面性、合理性和可操作性较一般，基本满足本项目实际需求，对重难点的把握一般、分析基本合理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2.3</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restart"/>
            <w:tcBorders>
              <w:top w:val="single" w:color="auto" w:sz="4" w:space="0"/>
              <w:left w:val="single" w:color="auto" w:sz="4" w:space="0"/>
              <w:right w:val="single" w:color="auto" w:sz="4" w:space="0"/>
            </w:tcBorders>
            <w:vAlign w:val="center"/>
          </w:tcPr>
          <w:p>
            <w:pPr>
              <w:widowControl/>
              <w:ind w:firstLine="420" w:firstLineChars="200"/>
              <w:rPr>
                <w:rFonts w:hAnsi="宋体" w:eastAsia="宋体"/>
                <w:sz w:val="21"/>
                <w:lang w:bidi="ar"/>
              </w:rPr>
            </w:pPr>
            <w:r>
              <w:rPr>
                <w:rFonts w:hint="eastAsia" w:hAnsi="宋体" w:eastAsia="宋体"/>
                <w:sz w:val="21"/>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sz w:val="21"/>
                <w:lang w:bidi="ar"/>
              </w:rPr>
              <w:t>8-6分，良好得5-3分，一般得2-1分；其他情况不得分。</w:t>
            </w:r>
          </w:p>
        </w:tc>
        <w:tc>
          <w:tcPr>
            <w:tcW w:w="675" w:type="dxa"/>
            <w:vMerge w:val="restart"/>
            <w:tcBorders>
              <w:top w:val="single" w:color="auto" w:sz="4" w:space="0"/>
              <w:left w:val="single" w:color="auto" w:sz="4" w:space="0"/>
              <w:right w:val="single" w:color="auto" w:sz="4" w:space="0"/>
            </w:tcBorders>
            <w:vAlign w:val="center"/>
          </w:tcPr>
          <w:p>
            <w:pPr>
              <w:widowControl/>
              <w:jc w:val="center"/>
              <w:rPr>
                <w:rFonts w:hAnsi="宋体" w:eastAsia="宋体"/>
                <w:b/>
                <w:bCs/>
                <w:sz w:val="21"/>
              </w:rPr>
            </w:pPr>
          </w:p>
          <w:p>
            <w:pPr>
              <w:jc w:val="center"/>
              <w:rPr>
                <w:rFonts w:hAnsi="宋体" w:eastAsia="宋体"/>
                <w:b/>
                <w:bCs/>
                <w:sz w:val="21"/>
              </w:rPr>
            </w:pPr>
            <w:r>
              <w:rPr>
                <w:rFonts w:hint="eastAsia" w:hAnsi="宋体" w:eastAsia="宋体"/>
                <w:b/>
                <w:bCs/>
                <w:sz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2.4</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widowControl/>
              <w:ind w:firstLine="422" w:firstLineChars="200"/>
              <w:rPr>
                <w:rStyle w:val="16"/>
                <w:rFonts w:hAnsi="宋体" w:eastAsia="宋体"/>
                <w:sz w:val="21"/>
              </w:rPr>
            </w:pPr>
          </w:p>
        </w:tc>
        <w:tc>
          <w:tcPr>
            <w:tcW w:w="675" w:type="dxa"/>
            <w:vMerge w:val="continue"/>
            <w:tcBorders>
              <w:left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2.5</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vMerge w:val="continue"/>
            <w:tcBorders>
              <w:left w:val="single" w:color="auto" w:sz="4" w:space="0"/>
              <w:right w:val="single" w:color="auto" w:sz="4" w:space="0"/>
            </w:tcBorders>
            <w:vAlign w:val="center"/>
          </w:tcPr>
          <w:p>
            <w:pPr>
              <w:ind w:firstLine="422" w:firstLineChars="200"/>
              <w:rPr>
                <w:rStyle w:val="16"/>
                <w:rFonts w:hAnsi="宋体" w:eastAsia="宋体"/>
                <w:sz w:val="21"/>
              </w:rPr>
            </w:pPr>
          </w:p>
        </w:tc>
        <w:tc>
          <w:tcPr>
            <w:tcW w:w="675" w:type="dxa"/>
            <w:vMerge w:val="continue"/>
            <w:tcBorders>
              <w:left w:val="single" w:color="auto" w:sz="4" w:space="0"/>
              <w:bottom w:val="single" w:color="auto" w:sz="4" w:space="0"/>
              <w:right w:val="single" w:color="auto" w:sz="4" w:space="0"/>
            </w:tcBorders>
            <w:vAlign w:val="center"/>
          </w:tcPr>
          <w:p>
            <w:pPr>
              <w:jc w:val="center"/>
              <w:rPr>
                <w:rFonts w:hAnsi="宋体" w:eastAsia="宋体"/>
                <w:b/>
                <w:bCs/>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2.6</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right w:val="single" w:color="auto" w:sz="4" w:space="0"/>
            </w:tcBorders>
            <w:vAlign w:val="center"/>
          </w:tcPr>
          <w:p>
            <w:pPr>
              <w:ind w:firstLine="420" w:firstLineChars="200"/>
              <w:rPr>
                <w:rStyle w:val="16"/>
                <w:rFonts w:hAnsi="宋体" w:eastAsia="宋体"/>
                <w:sz w:val="21"/>
              </w:rPr>
            </w:pPr>
            <w:r>
              <w:rPr>
                <w:rFonts w:hint="eastAsia" w:hAnsi="宋体" w:eastAsia="宋体"/>
                <w:sz w:val="21"/>
              </w:rPr>
              <w:t>评委根据供应商针对本项目提供的概算方案（编制未来全费用清单）进行综合评分，概算方案体系完整，其内容明确、清晰、合理的得6-5分；概算方案体系较为完整，其内容较为明确、清晰、合理的得4-3分；概算方案为通用描述、针对性一般的得2-1分；其他情况不得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c>
          <w:tcPr>
            <w:tcW w:w="1606" w:type="dxa"/>
            <w:tcBorders>
              <w:left w:val="single" w:color="auto" w:sz="4" w:space="0"/>
              <w:right w:val="single" w:color="auto" w:sz="4" w:space="0"/>
            </w:tcBorders>
            <w:vAlign w:val="center"/>
          </w:tcPr>
          <w:p>
            <w:pPr>
              <w:adjustRightInd/>
              <w:jc w:val="left"/>
              <w:textAlignment w:val="auto"/>
              <w:rPr>
                <w:rFonts w:eastAsia="宋体"/>
                <w:sz w:val="21"/>
              </w:rPr>
            </w:pPr>
            <w:r>
              <w:rPr>
                <w:rFonts w:hint="eastAsia" w:hAnsi="宋体" w:eastAsia="宋体"/>
                <w:b/>
                <w:bCs/>
                <w:sz w:val="21"/>
              </w:rPr>
              <w:t>主要材料质量及市场知名度（10分）</w:t>
            </w:r>
          </w:p>
        </w:tc>
        <w:tc>
          <w:tcPr>
            <w:tcW w:w="6929" w:type="dxa"/>
            <w:tcBorders>
              <w:top w:val="single" w:color="auto" w:sz="4" w:space="0"/>
              <w:left w:val="single" w:color="auto" w:sz="4" w:space="0"/>
              <w:right w:val="single" w:color="auto" w:sz="4" w:space="0"/>
            </w:tcBorders>
          </w:tcPr>
          <w:p>
            <w:pPr>
              <w:ind w:firstLine="420" w:firstLineChars="200"/>
              <w:rPr>
                <w:rFonts w:hAnsi="宋体" w:eastAsia="宋体"/>
                <w:sz w:val="21"/>
              </w:rPr>
            </w:pPr>
            <w:r>
              <w:rPr>
                <w:rFonts w:hint="eastAsia" w:hAnsi="宋体" w:eastAsia="宋体"/>
                <w:sz w:val="21"/>
              </w:rPr>
              <w:t>评委根据供应商所响应的主要物品品牌、材料的质量及市场知名度和认可度打分，较好10-8分，一般7-4分，其他4分以下。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4</w:t>
            </w:r>
          </w:p>
        </w:tc>
        <w:tc>
          <w:tcPr>
            <w:tcW w:w="1606" w:type="dxa"/>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业绩 </w:t>
            </w:r>
          </w:p>
          <w:p>
            <w:pPr>
              <w:pStyle w:val="2"/>
              <w:ind w:firstLine="211" w:firstLineChars="100"/>
              <w:rPr>
                <w:rFonts w:eastAsia="宋体"/>
                <w:sz w:val="21"/>
                <w:szCs w:val="21"/>
              </w:rPr>
            </w:pPr>
            <w:r>
              <w:rPr>
                <w:rFonts w:hint="eastAsia" w:eastAsia="宋体"/>
                <w:b/>
                <w:bCs/>
                <w:sz w:val="21"/>
                <w:szCs w:val="21"/>
              </w:rPr>
              <w:t>（10分）</w:t>
            </w:r>
          </w:p>
        </w:tc>
        <w:tc>
          <w:tcPr>
            <w:tcW w:w="6929" w:type="dxa"/>
            <w:tcBorders>
              <w:top w:val="single" w:color="auto" w:sz="4" w:space="0"/>
              <w:left w:val="single" w:color="auto" w:sz="4" w:space="0"/>
              <w:right w:val="single" w:color="auto" w:sz="4" w:space="0"/>
            </w:tcBorders>
            <w:vAlign w:val="center"/>
          </w:tcPr>
          <w:p>
            <w:pPr>
              <w:ind w:firstLine="420" w:firstLineChars="200"/>
              <w:rPr>
                <w:rFonts w:hAnsi="宋体" w:eastAsia="宋体"/>
                <w:sz w:val="21"/>
              </w:rPr>
            </w:pPr>
            <w:r>
              <w:rPr>
                <w:rFonts w:hint="eastAsia" w:hAnsi="宋体" w:eastAsia="宋体"/>
                <w:sz w:val="21"/>
              </w:rPr>
              <w:t>（1）2016年1月1日以来，供应商具有与本项目相关类似业绩的，每提供一项得4分，最高得10分；</w:t>
            </w:r>
          </w:p>
          <w:p>
            <w:pPr>
              <w:ind w:firstLine="420" w:firstLineChars="200"/>
              <w:rPr>
                <w:rFonts w:hAnsi="宋体" w:eastAsia="宋体"/>
                <w:sz w:val="21"/>
              </w:rPr>
            </w:pPr>
            <w:r>
              <w:rPr>
                <w:rFonts w:hint="eastAsia" w:hAnsi="宋体" w:eastAsia="宋体"/>
                <w:sz w:val="21"/>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5.1</w:t>
            </w:r>
          </w:p>
        </w:tc>
        <w:tc>
          <w:tcPr>
            <w:tcW w:w="1606" w:type="dxa"/>
            <w:vMerge w:val="restart"/>
            <w:tcBorders>
              <w:left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 xml:space="preserve">履约能力 </w:t>
            </w:r>
          </w:p>
          <w:p>
            <w:pPr>
              <w:pStyle w:val="2"/>
              <w:ind w:firstLine="211" w:firstLineChars="100"/>
              <w:rPr>
                <w:rFonts w:eastAsia="宋体"/>
                <w:sz w:val="21"/>
                <w:szCs w:val="21"/>
              </w:rPr>
            </w:pPr>
            <w:r>
              <w:rPr>
                <w:rFonts w:hint="eastAsia" w:eastAsia="宋体"/>
                <w:b/>
                <w:bCs/>
                <w:sz w:val="21"/>
                <w:szCs w:val="21"/>
              </w:rPr>
              <w:t>（20分）</w:t>
            </w:r>
          </w:p>
        </w:tc>
        <w:tc>
          <w:tcPr>
            <w:tcW w:w="6929" w:type="dxa"/>
            <w:tcBorders>
              <w:top w:val="single" w:color="auto" w:sz="4" w:space="0"/>
              <w:left w:val="single" w:color="auto" w:sz="4" w:space="0"/>
              <w:bottom w:val="single" w:color="auto" w:sz="4" w:space="0"/>
              <w:right w:val="single" w:color="auto" w:sz="4" w:space="0"/>
            </w:tcBorders>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3、根据供应商质量保证承诺及措施的针对性：根据供应商质量保证承诺及措施打分，较好3-2分，一般1分，其他0分。（3分）。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项目经理及相关人员情况：项目经理具有一级建造师证书得3分，具有二级建造师证书得2分，其他不得分，最高得5分。（5分）</w:t>
            </w:r>
          </w:p>
          <w:p>
            <w:pPr>
              <w:adjustRightInd/>
              <w:jc w:val="left"/>
              <w:textAlignment w:val="auto"/>
              <w:rPr>
                <w:rFonts w:hAnsi="宋体" w:eastAsia="宋体"/>
                <w:sz w:val="21"/>
              </w:rPr>
            </w:pPr>
            <w:r>
              <w:rPr>
                <w:rFonts w:hint="eastAsia" w:cs="宋体" w:asciiTheme="minorEastAsia" w:hAnsiTheme="minorEastAsia" w:eastAsiaTheme="minorEastAsia"/>
                <w:sz w:val="21"/>
              </w:rPr>
              <w:t>5、安全文明施工：根据供应商对安全文明施工的认识及合理性打分，较好3-2分，一般1分，其他0分。（3分）。</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5.2</w:t>
            </w:r>
          </w:p>
        </w:tc>
        <w:tc>
          <w:tcPr>
            <w:tcW w:w="1606" w:type="dxa"/>
            <w:vMerge w:val="continue"/>
            <w:tcBorders>
              <w:left w:val="single" w:color="auto" w:sz="4" w:space="0"/>
              <w:right w:val="single" w:color="auto" w:sz="4" w:space="0"/>
            </w:tcBorders>
            <w:vAlign w:val="center"/>
          </w:tcPr>
          <w:p>
            <w:pPr>
              <w:jc w:val="center"/>
              <w:rPr>
                <w:rFonts w:hAnsi="宋体" w:eastAsia="宋体"/>
                <w:b/>
                <w:bCs/>
                <w:sz w:val="21"/>
              </w:rPr>
            </w:pPr>
          </w:p>
        </w:tc>
        <w:tc>
          <w:tcPr>
            <w:tcW w:w="6929" w:type="dxa"/>
            <w:tcBorders>
              <w:top w:val="single" w:color="auto" w:sz="4" w:space="0"/>
              <w:left w:val="single" w:color="auto" w:sz="4" w:space="0"/>
              <w:bottom w:val="single" w:color="auto" w:sz="4" w:space="0"/>
              <w:right w:val="single" w:color="auto" w:sz="4" w:space="0"/>
            </w:tcBorders>
            <w:vAlign w:val="center"/>
          </w:tcPr>
          <w:p>
            <w:pPr>
              <w:snapToGrid w:val="0"/>
              <w:ind w:firstLine="420" w:firstLineChars="200"/>
              <w:rPr>
                <w:rStyle w:val="16"/>
                <w:rFonts w:hAnsi="宋体" w:eastAsia="宋体"/>
                <w:b w:val="0"/>
                <w:bCs w:val="0"/>
                <w:sz w:val="21"/>
              </w:rPr>
            </w:pPr>
            <w:r>
              <w:rPr>
                <w:rStyle w:val="16"/>
                <w:rFonts w:hint="eastAsia" w:hAnsi="宋体" w:eastAsia="宋体"/>
                <w:b w:val="0"/>
                <w:bCs w:val="0"/>
                <w:sz w:val="21"/>
              </w:rPr>
              <w:t>供应商具有ISO9001质量管理体系认证证书、OHSAS18001职业健康安全管理体系认证证书和ISO14001环境管理体系认证证书的，每提供1项得1分，本项最高得3分（提供上述相关认证证书复印件并加盖公章，原件备查）。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vAlign w:val="center"/>
          </w:tcPr>
          <w:p>
            <w:pPr>
              <w:jc w:val="center"/>
              <w:rPr>
                <w:rFonts w:hAnsi="宋体" w:eastAsia="宋体"/>
                <w:b/>
                <w:bCs/>
                <w:sz w:val="21"/>
              </w:rPr>
            </w:pPr>
            <w:r>
              <w:rPr>
                <w:rFonts w:hint="eastAsia" w:hAnsi="宋体" w:eastAsia="宋体"/>
                <w:b/>
                <w:bCs/>
                <w:sz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vAlign w:val="center"/>
          </w:tcPr>
          <w:p>
            <w:pPr>
              <w:widowControl/>
              <w:ind w:firstLine="211" w:firstLineChars="100"/>
              <w:jc w:val="center"/>
              <w:rPr>
                <w:rFonts w:hAnsi="宋体" w:eastAsia="宋体"/>
                <w:sz w:val="21"/>
              </w:rPr>
            </w:pPr>
            <w:r>
              <w:rPr>
                <w:rFonts w:hint="eastAsia" w:hAnsi="宋体" w:eastAsia="宋体"/>
                <w:b/>
                <w:bCs/>
                <w:sz w:val="21"/>
              </w:rPr>
              <w:t>合计</w:t>
            </w:r>
          </w:p>
        </w:tc>
        <w:tc>
          <w:tcPr>
            <w:tcW w:w="675" w:type="dxa"/>
            <w:tcBorders>
              <w:top w:val="single" w:color="auto" w:sz="4" w:space="0"/>
              <w:left w:val="single" w:color="auto" w:sz="4" w:space="0"/>
              <w:bottom w:val="single" w:color="auto" w:sz="4" w:space="0"/>
              <w:right w:val="single" w:color="auto" w:sz="4" w:space="0"/>
            </w:tcBorders>
            <w:vAlign w:val="center"/>
          </w:tcPr>
          <w:p>
            <w:pPr>
              <w:widowControl/>
              <w:jc w:val="center"/>
              <w:rPr>
                <w:rFonts w:hAnsi="宋体" w:eastAsia="宋体"/>
                <w:b/>
                <w:bCs/>
                <w:sz w:val="21"/>
              </w:rPr>
            </w:pPr>
            <w:r>
              <w:rPr>
                <w:rFonts w:hint="eastAsia" w:hAnsi="宋体" w:eastAsia="宋体"/>
                <w:b/>
                <w:bCs/>
                <w:sz w:val="21"/>
              </w:rPr>
              <w:t>100</w:t>
            </w: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4"/>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 （大写）元人民币。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4"/>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rPr>
          <w:rStyle w:val="24"/>
          <w:rFonts w:asciiTheme="minorEastAsia" w:hAnsiTheme="minorEastAsia" w:eastAsiaTheme="minorEastAsia"/>
          <w:color w:val="auto"/>
          <w:sz w:val="30"/>
          <w:szCs w:val="30"/>
        </w:rPr>
      </w:pPr>
    </w:p>
    <w:p>
      <w:pPr>
        <w:rPr>
          <w:rStyle w:val="24"/>
          <w:rFonts w:asciiTheme="minorEastAsia" w:hAnsiTheme="minorEastAsia" w:eastAsiaTheme="minorEastAsia"/>
          <w:color w:val="auto"/>
          <w:sz w:val="30"/>
          <w:szCs w:val="30"/>
        </w:rPr>
      </w:pPr>
      <w:r>
        <w:rPr>
          <w:rStyle w:val="24"/>
          <w:rFonts w:hint="eastAsia" w:asciiTheme="minorEastAsia" w:hAnsiTheme="minorEastAsia" w:eastAsiaTheme="minorEastAsia"/>
          <w:color w:val="auto"/>
          <w:sz w:val="30"/>
          <w:szCs w:val="30"/>
        </w:rPr>
        <w:t>注：报价附未来软件综合分析表，否则视为无效报价。</w:t>
      </w: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4"/>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5"/>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5"/>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六、商务条款偏离表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pStyle w:val="2"/>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七、磋商文件要求及供应商认为需要提供的证明文件及材料等（格式自拟）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八、中小企业声明函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2" w:name="_Toc351731637"/>
      <w:bookmarkStart w:id="93" w:name="_Toc464724913"/>
      <w:bookmarkStart w:id="94" w:name="_Toc465082424"/>
      <w:bookmarkStart w:id="95"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九、无重大违法记录声明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2"/>
      <w:bookmarkEnd w:id="93"/>
      <w:bookmarkEnd w:id="94"/>
      <w:bookmarkEnd w:id="95"/>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十一、财务状况报告，依法缴纳税收和社会保障资金的相关材料格式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十二、履行合同所必需的设备和专业技术能力的证明材料格式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134" w:right="1531" w:bottom="113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7"/>
      </w:rPr>
    </w:pPr>
    <w:r>
      <w:rPr>
        <w:rStyle w:val="17"/>
      </w:rPr>
      <w:fldChar w:fldCharType="begin"/>
    </w:r>
    <w:r>
      <w:rPr>
        <w:rStyle w:val="17"/>
      </w:rPr>
      <w:instrText xml:space="preserve">PAGE  </w:instrText>
    </w:r>
    <w:r>
      <w:rPr>
        <w:rStyle w:val="17"/>
      </w:rPr>
      <w:fldChar w:fldCharType="separate"/>
    </w:r>
    <w:r>
      <w:rPr>
        <w:rStyle w:val="17"/>
      </w:rPr>
      <w:t>34</w:t>
    </w:r>
    <w:r>
      <w:rPr>
        <w:rStyle w:val="17"/>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tentative="0">
      <w:start w:val="11"/>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2"/>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6060D"/>
    <w:rsid w:val="000E14C8"/>
    <w:rsid w:val="001E04BD"/>
    <w:rsid w:val="002C25CB"/>
    <w:rsid w:val="00367EF1"/>
    <w:rsid w:val="003B50C1"/>
    <w:rsid w:val="003E68FA"/>
    <w:rsid w:val="004722BB"/>
    <w:rsid w:val="00480F32"/>
    <w:rsid w:val="005736BC"/>
    <w:rsid w:val="00677AE1"/>
    <w:rsid w:val="007229CC"/>
    <w:rsid w:val="00764B5C"/>
    <w:rsid w:val="00776B44"/>
    <w:rsid w:val="007979D5"/>
    <w:rsid w:val="007A3E59"/>
    <w:rsid w:val="008418AC"/>
    <w:rsid w:val="00881AD4"/>
    <w:rsid w:val="0089007F"/>
    <w:rsid w:val="008C1953"/>
    <w:rsid w:val="009514EC"/>
    <w:rsid w:val="009649A5"/>
    <w:rsid w:val="00994B67"/>
    <w:rsid w:val="00A20341"/>
    <w:rsid w:val="00A21187"/>
    <w:rsid w:val="00A47883"/>
    <w:rsid w:val="00A92104"/>
    <w:rsid w:val="00AF7E3A"/>
    <w:rsid w:val="00B278AE"/>
    <w:rsid w:val="00B41E6C"/>
    <w:rsid w:val="00BD2BF3"/>
    <w:rsid w:val="00BD4E84"/>
    <w:rsid w:val="00C47474"/>
    <w:rsid w:val="00C73DA1"/>
    <w:rsid w:val="00C86E8C"/>
    <w:rsid w:val="00C919C3"/>
    <w:rsid w:val="00CC2515"/>
    <w:rsid w:val="00D033BC"/>
    <w:rsid w:val="00D348EE"/>
    <w:rsid w:val="00D655E2"/>
    <w:rsid w:val="00DE63AB"/>
    <w:rsid w:val="00F43CCF"/>
    <w:rsid w:val="00F45FCD"/>
    <w:rsid w:val="00F6350D"/>
    <w:rsid w:val="00FC7119"/>
    <w:rsid w:val="01AD63F7"/>
    <w:rsid w:val="0496761E"/>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62E3722"/>
    <w:rsid w:val="278A1943"/>
    <w:rsid w:val="28A1440C"/>
    <w:rsid w:val="28C6043E"/>
    <w:rsid w:val="2942005D"/>
    <w:rsid w:val="2CE87CA2"/>
    <w:rsid w:val="2DFB34F3"/>
    <w:rsid w:val="31225F10"/>
    <w:rsid w:val="335F582E"/>
    <w:rsid w:val="33932BE6"/>
    <w:rsid w:val="33A00773"/>
    <w:rsid w:val="33BC1180"/>
    <w:rsid w:val="34FD7862"/>
    <w:rsid w:val="353848F1"/>
    <w:rsid w:val="358A66CE"/>
    <w:rsid w:val="35F654F2"/>
    <w:rsid w:val="36B742F3"/>
    <w:rsid w:val="3783349B"/>
    <w:rsid w:val="37DB0A41"/>
    <w:rsid w:val="38B1276F"/>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F7030B"/>
    <w:rsid w:val="5020390E"/>
    <w:rsid w:val="50C14D82"/>
    <w:rsid w:val="54383383"/>
    <w:rsid w:val="54860917"/>
    <w:rsid w:val="555039D2"/>
    <w:rsid w:val="55570EFF"/>
    <w:rsid w:val="564B4A20"/>
    <w:rsid w:val="56A0323C"/>
    <w:rsid w:val="56F12796"/>
    <w:rsid w:val="593516D2"/>
    <w:rsid w:val="5A2027F8"/>
    <w:rsid w:val="5B3311C3"/>
    <w:rsid w:val="62FB7F9D"/>
    <w:rsid w:val="63033838"/>
    <w:rsid w:val="6774251A"/>
    <w:rsid w:val="685573EF"/>
    <w:rsid w:val="68C732CF"/>
    <w:rsid w:val="69644C01"/>
    <w:rsid w:val="6A237128"/>
    <w:rsid w:val="6A364A8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5927CFF"/>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uiPriority w:val="99"/>
    <w:tblPr>
      <w:tblLayout w:type="fixed"/>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ind w:firstLine="480" w:firstLineChars="200"/>
    </w:pPr>
    <w:rPr>
      <w:rFonts w:hAnsi="宋体" w:cs="宋体"/>
      <w:sz w:val="24"/>
      <w:szCs w:val="20"/>
    </w:r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8"/>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Strong"/>
    <w:qFormat/>
    <w:uiPriority w:val="0"/>
    <w:rPr>
      <w:b/>
      <w:bCs/>
    </w:rPr>
  </w:style>
  <w:style w:type="character" w:styleId="17">
    <w:name w:val="page number"/>
    <w:basedOn w:val="15"/>
    <w:qFormat/>
    <w:uiPriority w:val="0"/>
  </w:style>
  <w:style w:type="character" w:styleId="18">
    <w:name w:val="Emphasis"/>
    <w:qFormat/>
    <w:uiPriority w:val="0"/>
    <w:rPr>
      <w:i/>
      <w:iCs/>
    </w:rPr>
  </w:style>
  <w:style w:type="character" w:styleId="19">
    <w:name w:val="Hyperlink"/>
    <w:basedOn w:val="15"/>
    <w:qFormat/>
    <w:uiPriority w:val="0"/>
    <w:rPr>
      <w:color w:val="3F88BF"/>
      <w:u w:val="none"/>
    </w:rPr>
  </w:style>
  <w:style w:type="paragraph" w:customStyle="1" w:styleId="20">
    <w:name w:val="普通正文"/>
    <w:basedOn w:val="1"/>
    <w:qFormat/>
    <w:uiPriority w:val="0"/>
    <w:pPr>
      <w:spacing w:before="120" w:after="120"/>
      <w:ind w:firstLine="480"/>
      <w:jc w:val="left"/>
    </w:pPr>
    <w:rPr>
      <w:rFonts w:ascii="Arial" w:hAnsi="Arial" w:eastAsia="宋体"/>
      <w:szCs w:val="24"/>
    </w:rPr>
  </w:style>
  <w:style w:type="paragraph" w:customStyle="1" w:styleId="21">
    <w:name w:val="正文 1.1"/>
    <w:basedOn w:val="1"/>
    <w:next w:val="22"/>
    <w:qFormat/>
    <w:uiPriority w:val="0"/>
    <w:pPr>
      <w:numPr>
        <w:ilvl w:val="1"/>
        <w:numId w:val="2"/>
      </w:numPr>
      <w:ind w:left="980" w:hanging="980" w:hangingChars="350"/>
      <w:outlineLvl w:val="1"/>
    </w:pPr>
    <w:rPr>
      <w:rFonts w:ascii="仿宋" w:hAnsi="仿宋"/>
      <w:b/>
    </w:rPr>
  </w:style>
  <w:style w:type="paragraph" w:customStyle="1" w:styleId="22">
    <w:name w:val="正文 1.1.1"/>
    <w:basedOn w:val="1"/>
    <w:next w:val="1"/>
    <w:qFormat/>
    <w:uiPriority w:val="0"/>
    <w:pPr>
      <w:numPr>
        <w:ilvl w:val="2"/>
        <w:numId w:val="2"/>
      </w:numPr>
      <w:outlineLvl w:val="2"/>
    </w:pPr>
    <w:rPr>
      <w:rFonts w:hAnsi="宋体" w:eastAsia="宋体"/>
      <w:color w:val="FF0000"/>
    </w:rPr>
  </w:style>
  <w:style w:type="paragraph" w:customStyle="1" w:styleId="23">
    <w:name w:val="正文空2格  1."/>
    <w:basedOn w:val="1"/>
    <w:qFormat/>
    <w:uiPriority w:val="0"/>
    <w:pPr>
      <w:ind w:firstLine="480" w:firstLineChars="200"/>
    </w:pPr>
    <w:rPr>
      <w:rFonts w:cs="宋体"/>
      <w:szCs w:val="20"/>
    </w:rPr>
  </w:style>
  <w:style w:type="character" w:customStyle="1" w:styleId="24">
    <w:name w:val="正文 第五章 中间"/>
    <w:qFormat/>
    <w:uiPriority w:val="0"/>
    <w:rPr>
      <w:b/>
      <w:bCs/>
      <w:color w:val="000000"/>
      <w:sz w:val="32"/>
    </w:rPr>
  </w:style>
  <w:style w:type="paragraph" w:customStyle="1" w:styleId="25">
    <w:name w:val="列出段落1"/>
    <w:basedOn w:val="1"/>
    <w:unhideWhenUsed/>
    <w:qFormat/>
    <w:uiPriority w:val="99"/>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hAnsi="宋体" w:cs="宋体"/>
      <w:sz w:val="24"/>
    </w:rPr>
  </w:style>
  <w:style w:type="character" w:customStyle="1" w:styleId="27">
    <w:name w:val="页眉 Char"/>
    <w:basedOn w:val="15"/>
    <w:link w:val="10"/>
    <w:qFormat/>
    <w:uiPriority w:val="0"/>
    <w:rPr>
      <w:rFonts w:ascii="宋体" w:eastAsia="仿宋"/>
      <w:sz w:val="18"/>
      <w:szCs w:val="18"/>
    </w:rPr>
  </w:style>
  <w:style w:type="character" w:customStyle="1" w:styleId="28">
    <w:name w:val="纯文本 Char"/>
    <w:basedOn w:val="15"/>
    <w:link w:val="7"/>
    <w:qFormat/>
    <w:uiPriority w:val="0"/>
    <w:rPr>
      <w:rFonts w:ascii="宋体" w:hAnsi="Courier New" w:eastAsia="仿宋"/>
      <w:sz w:val="21"/>
      <w:szCs w:val="21"/>
    </w:rPr>
  </w:style>
  <w:style w:type="paragraph" w:styleId="29">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36</Pages>
  <Words>2960</Words>
  <Characters>16872</Characters>
  <Lines>140</Lines>
  <Paragraphs>39</Paragraphs>
  <TotalTime>2</TotalTime>
  <ScaleCrop>false</ScaleCrop>
  <LinksUpToDate>false</LinksUpToDate>
  <CharactersWithSpaces>19793</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2019-11-20T00:25:50Z</cp:lastPrinted>
  <dcterms:modified xsi:type="dcterms:W3CDTF">2019-11-20T00:28:01Z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