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spacing w:line="640" w:lineRule="exact"/>
        <w:jc w:val="both"/>
        <w:rPr>
          <w:rFonts w:hint="eastAsia" w:ascii="楷体" w:hAnsi="楷体" w:eastAsia="楷体" w:cs="楷体"/>
          <w:b/>
          <w:bCs/>
          <w:sz w:val="40"/>
          <w:szCs w:val="40"/>
          <w:lang w:val="en-US" w:eastAsia="zh-CN"/>
        </w:rPr>
      </w:pPr>
      <w:r>
        <w:rPr>
          <w:rFonts w:hint="eastAsia" w:ascii="楷体" w:hAnsi="楷体" w:eastAsia="楷体" w:cs="楷体"/>
          <w:b/>
          <w:bCs/>
          <w:sz w:val="40"/>
          <w:szCs w:val="40"/>
          <w:lang w:val="en-US" w:eastAsia="zh-CN"/>
        </w:rPr>
        <w:t>项目名称：南京交通职业技术学院模块化网络机房装修采购项目</w:t>
      </w:r>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w:t>
      </w:r>
      <w:r>
        <w:rPr>
          <w:rFonts w:hint="eastAsia" w:ascii="楷体" w:hAnsi="楷体" w:eastAsia="楷体" w:cs="楷体"/>
          <w:b/>
          <w:bCs/>
          <w:sz w:val="40"/>
          <w:szCs w:val="40"/>
          <w:lang w:val="en-US" w:eastAsia="zh-CN"/>
        </w:rPr>
        <w:t>151</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十</w:t>
      </w:r>
      <w:r>
        <w:rPr>
          <w:rFonts w:hint="eastAsia" w:ascii="楷体" w:hAnsi="楷体" w:eastAsia="楷体" w:cs="楷体"/>
          <w:b/>
          <w:bCs/>
          <w:sz w:val="36"/>
          <w:szCs w:val="36"/>
        </w:rPr>
        <w:t>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479757206"/>
      <w:bookmarkStart w:id="2" w:name="_Toc523127445"/>
      <w:bookmarkStart w:id="3" w:name="_Toc20823272"/>
      <w:bookmarkStart w:id="4" w:name="_Toc513029200"/>
      <w:bookmarkStart w:id="5" w:name="_Toc1693851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31882"/>
      <w:bookmarkStart w:id="7" w:name="_Toc10896"/>
      <w:bookmarkStart w:id="8" w:name="_Toc324237145"/>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模块化网络机房装修工程项目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w:t>
            </w:r>
            <w:r>
              <w:rPr>
                <w:rFonts w:hint="eastAsia" w:ascii="楷体" w:hAnsi="楷体" w:eastAsia="楷体" w:cs="楷体"/>
                <w:b/>
                <w:bCs/>
                <w:sz w:val="24"/>
                <w:szCs w:val="24"/>
                <w:lang w:eastAsia="zh-CN"/>
              </w:rPr>
              <w:t>京交通职业技术学院模块化网络机房装修工程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张</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729</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模块化网络机房装修工程</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2、预算13.15万元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11</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12</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上午9:00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11</w:t>
            </w:r>
            <w:r>
              <w:rPr>
                <w:rFonts w:hint="eastAsia" w:ascii="楷体" w:hAnsi="楷体" w:eastAsia="楷体" w:cs="楷体"/>
                <w:sz w:val="24"/>
                <w:szCs w:val="24"/>
              </w:rPr>
              <w:t>月</w:t>
            </w:r>
            <w:r>
              <w:rPr>
                <w:rFonts w:hint="eastAsia" w:ascii="楷体" w:hAnsi="楷体" w:eastAsia="楷体" w:cs="楷体"/>
                <w:sz w:val="24"/>
                <w:szCs w:val="24"/>
                <w:lang w:val="en-US" w:eastAsia="zh-CN"/>
              </w:rPr>
              <w:t>9日上午9点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324237146"/>
      <w:bookmarkStart w:id="14" w:name="_Toc120614211"/>
      <w:bookmarkStart w:id="15" w:name="_Toc16747"/>
    </w:p>
    <w:p>
      <w:pPr>
        <w:snapToGrid w:val="0"/>
        <w:spacing w:line="360" w:lineRule="auto"/>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建筑装修装饰工程专业承包三级（或乙级）及以上资质（提供有效期内的资质证书复印件并加盖公章；</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80" w:firstLineChars="200"/>
        <w:rPr>
          <w:rFonts w:hint="eastAsia" w:ascii="楷体" w:hAnsi="楷体" w:eastAsia="楷体" w:cs="楷体"/>
          <w:sz w:val="24"/>
          <w:szCs w:val="24"/>
          <w:lang w:eastAsia="zh-CN"/>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p>
    <w:p>
      <w:pPr>
        <w:spacing w:line="360" w:lineRule="auto"/>
        <w:rPr>
          <w:rFonts w:hint="eastAsia" w:ascii="楷体" w:hAnsi="楷体" w:eastAsia="楷体" w:cs="楷体"/>
          <w:sz w:val="24"/>
          <w:szCs w:val="24"/>
        </w:rPr>
      </w:pP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11</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9日上午9点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11</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12</w:t>
      </w:r>
      <w:bookmarkStart w:id="137" w:name="_GoBack"/>
      <w:bookmarkEnd w:id="137"/>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上午9:30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贰仟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115729</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3756"/>
      <w:bookmarkStart w:id="22" w:name="_Toc18049"/>
      <w:bookmarkStart w:id="23" w:name="_Toc61149549"/>
      <w:bookmarkStart w:id="24" w:name="_Toc513029209"/>
      <w:bookmarkStart w:id="25" w:name="_Toc14577347"/>
      <w:bookmarkStart w:id="26" w:name="_Toc513029242"/>
      <w:bookmarkStart w:id="27" w:name="_Toc120614221"/>
      <w:bookmarkStart w:id="28" w:name="_Toc20823314"/>
      <w:bookmarkStart w:id="29" w:name="_Toc479757207"/>
      <w:bookmarkStart w:id="30" w:name="_Toc16938558"/>
      <w:bookmarkStart w:id="31" w:name="_Toc324237147"/>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20823309"/>
      <w:bookmarkStart w:id="35" w:name="_Toc16938553"/>
      <w:bookmarkStart w:id="36" w:name="_Toc513029237"/>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487210483"/>
      <w:bookmarkStart w:id="51" w:name="_Toc20846"/>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263"/>
      <w:bookmarkStart w:id="53" w:name="_Toc324237148"/>
      <w:bookmarkStart w:id="54" w:name="_Toc28167"/>
      <w:bookmarkStart w:id="55" w:name="_Toc26554093"/>
      <w:bookmarkStart w:id="56" w:name="_Toc120614281"/>
      <w:bookmarkStart w:id="57" w:name="_Toc49090575"/>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18960"/>
      <w:bookmarkStart w:id="61" w:name="_Toc324237156"/>
    </w:p>
    <w:bookmarkEnd w:id="60"/>
    <w:bookmarkEnd w:id="61"/>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highlight w:val="none"/>
          <w:lang w:eastAsia="zh-CN"/>
        </w:rPr>
      </w:pPr>
      <w:bookmarkStart w:id="62" w:name="_Toc403987220"/>
      <w:bookmarkStart w:id="63" w:name="_Toc15880"/>
      <w:bookmarkStart w:id="64" w:name="_Toc24347"/>
      <w:bookmarkStart w:id="65" w:name="_Toc8457"/>
      <w:bookmarkStart w:id="66" w:name="_Toc324237157"/>
      <w:bookmarkStart w:id="67" w:name="_Toc273"/>
      <w:r>
        <w:rPr>
          <w:rFonts w:hint="eastAsia" w:hAnsi="宋体"/>
          <w:bCs/>
          <w:color w:val="auto"/>
          <w:highlight w:val="none"/>
          <w:lang w:eastAsia="zh-CN"/>
        </w:rPr>
        <w:t>一、项目名称：南京交通职业技术学院模块化网络机房装修工程</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二</w:t>
      </w:r>
      <w:r>
        <w:rPr>
          <w:rFonts w:hint="eastAsia" w:hAnsi="宋体"/>
          <w:bCs/>
          <w:color w:val="auto"/>
          <w:highlight w:val="none"/>
        </w:rPr>
        <w:t>、项目内容：</w:t>
      </w:r>
      <w:r>
        <w:rPr>
          <w:rFonts w:hint="eastAsia" w:hAnsi="宋体"/>
          <w:bCs/>
          <w:color w:val="auto"/>
          <w:szCs w:val="22"/>
          <w:highlight w:val="none"/>
        </w:rPr>
        <w:t>南京交通职业技术学院</w:t>
      </w:r>
      <w:r>
        <w:rPr>
          <w:rFonts w:hint="eastAsia" w:hAnsi="宋体"/>
          <w:bCs/>
          <w:color w:val="auto"/>
          <w:highlight w:val="none"/>
          <w:lang w:eastAsia="zh-CN"/>
        </w:rPr>
        <w:t>模块化网络机房装修工程</w:t>
      </w:r>
      <w:r>
        <w:rPr>
          <w:rFonts w:hint="eastAsia" w:hAnsi="宋体"/>
          <w:bCs/>
          <w:color w:val="auto"/>
          <w:highlight w:val="none"/>
        </w:rPr>
        <w:t>（清单见附件）具体工作内容详见招标工程量清单及合同条款，且不得拒绝执行为完成全部工程而须执行的可能遗漏的工作。采购人保留调整发包范围的权利，供应商不得提出异议。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具体</w:t>
      </w:r>
      <w:r>
        <w:rPr>
          <w:rFonts w:hint="eastAsia" w:hAnsi="宋体"/>
          <w:bCs/>
          <w:highlight w:val="none"/>
          <w:lang w:eastAsia="zh-CN"/>
        </w:rPr>
        <w:t>工作内容</w:t>
      </w:r>
      <w:r>
        <w:rPr>
          <w:rFonts w:hint="eastAsia" w:hAnsi="宋体"/>
          <w:bCs/>
          <w:highlight w:val="none"/>
        </w:rPr>
        <w:t>详见招标工程量清单及合同条款，且不得拒绝执行为完成全部工程而须执行的可能遗漏的工作。采购人保留调整发包范围的权利，响应商不得提出异议。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三</w:t>
      </w:r>
      <w:r>
        <w:rPr>
          <w:rFonts w:hint="eastAsia" w:hAnsi="宋体"/>
          <w:bCs/>
          <w:highlight w:val="none"/>
        </w:rPr>
        <w:t>、响应说明及要求（</w:t>
      </w:r>
      <w:r>
        <w:rPr>
          <w:rFonts w:hint="eastAsia" w:hAnsi="宋体"/>
          <w:b/>
          <w:bCs w:val="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w:t>
      </w:r>
      <w:r>
        <w:rPr>
          <w:rFonts w:hint="eastAsia" w:hAnsi="宋体"/>
          <w:bCs/>
          <w:highlight w:val="yellow"/>
        </w:rPr>
        <w:t>金</w:t>
      </w:r>
      <w:r>
        <w:rPr>
          <w:rFonts w:hint="eastAsia" w:hAnsi="宋体"/>
          <w:bCs/>
          <w:highlight w:val="yellow"/>
          <w:lang w:val="en-US" w:eastAsia="zh-CN"/>
        </w:rPr>
        <w:t>2000元</w:t>
      </w:r>
      <w:r>
        <w:rPr>
          <w:rFonts w:hint="eastAsia" w:hAnsi="宋体"/>
          <w:bCs/>
          <w:highlight w:val="none"/>
        </w:rPr>
        <w:t>，成交后转为履约保证金。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000000"/>
          <w:szCs w:val="21"/>
          <w:highlight w:val="none"/>
          <w:lang w:val="en-US" w:eastAsia="zh-CN"/>
        </w:rPr>
        <w:t>本工</w:t>
      </w:r>
      <w:r>
        <w:rPr>
          <w:rFonts w:hint="eastAsia" w:ascii="宋体" w:hAnsi="宋体"/>
          <w:color w:val="auto"/>
          <w:szCs w:val="21"/>
          <w:highlight w:val="none"/>
          <w:lang w:val="en-US" w:eastAsia="zh-CN"/>
        </w:rPr>
        <w:t>程暂</w:t>
      </w:r>
      <w:r>
        <w:rPr>
          <w:rFonts w:hint="eastAsia" w:ascii="宋体" w:hAnsi="宋体"/>
          <w:color w:val="auto"/>
          <w:szCs w:val="21"/>
          <w:highlight w:val="yellow"/>
          <w:lang w:val="en-US" w:eastAsia="zh-CN"/>
        </w:rPr>
        <w:t>列金5000元</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，开工前提供付款凭证给校方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项目验收前支付</w:t>
      </w:r>
      <w:r>
        <w:rPr>
          <w:rFonts w:hint="eastAsia" w:ascii="宋体" w:hAnsi="宋体"/>
          <w:color w:val="auto"/>
          <w:szCs w:val="21"/>
          <w:highlight w:val="none"/>
        </w:rPr>
        <w:t>过程质量督查</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项目资料审查费用；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咨询费不得让利。咨询服务费中以费率计费的基数按控制价累进制方法计入，中标单位支付咨询费时计算基数为中标金额，项目结算时该项以中标金额为基数作调整。</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四</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rPr>
        <w:t>主要材料品牌及样品提供要求：</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静电地板</w:t>
      </w:r>
      <w:r>
        <w:rPr>
          <w:rFonts w:hint="eastAsia" w:ascii="宋体" w:hAnsi="宋体"/>
          <w:color w:val="000000"/>
          <w:szCs w:val="21"/>
        </w:rPr>
        <w:t>品牌：</w:t>
      </w:r>
      <w:r>
        <w:rPr>
          <w:rFonts w:hint="eastAsia" w:ascii="宋体" w:hAnsi="宋体"/>
          <w:color w:val="000000"/>
          <w:szCs w:val="21"/>
          <w:lang w:val="en-US" w:eastAsia="zh-CN"/>
        </w:rPr>
        <w:t>汇丽</w:t>
      </w:r>
      <w:r>
        <w:rPr>
          <w:rFonts w:hint="eastAsia" w:ascii="宋体" w:hAnsi="宋体"/>
          <w:color w:val="000000"/>
          <w:szCs w:val="21"/>
        </w:rPr>
        <w:t>、</w:t>
      </w:r>
      <w:r>
        <w:rPr>
          <w:rFonts w:hint="eastAsia" w:ascii="宋体" w:hAnsi="宋体"/>
          <w:color w:val="000000"/>
          <w:szCs w:val="21"/>
          <w:lang w:val="en-US" w:eastAsia="zh-CN"/>
        </w:rPr>
        <w:t>创星</w:t>
      </w:r>
      <w:r>
        <w:rPr>
          <w:rFonts w:hint="eastAsia" w:ascii="宋体" w:hAnsi="宋体"/>
          <w:color w:val="000000"/>
          <w:szCs w:val="21"/>
        </w:rPr>
        <w:t>、</w:t>
      </w:r>
      <w:r>
        <w:rPr>
          <w:rFonts w:hint="eastAsia" w:ascii="宋体" w:hAnsi="宋体"/>
          <w:color w:val="000000"/>
          <w:szCs w:val="21"/>
          <w:lang w:val="en-US" w:eastAsia="zh-CN"/>
        </w:rPr>
        <w:t>红日</w:t>
      </w:r>
      <w:r>
        <w:rPr>
          <w:rFonts w:hint="eastAsia" w:ascii="宋体" w:hAnsi="宋体"/>
          <w:color w:val="000000"/>
          <w:szCs w:val="21"/>
        </w:rPr>
        <w:t>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2</w:t>
      </w:r>
      <w:r>
        <w:rPr>
          <w:rFonts w:hint="eastAsia" w:ascii="宋体" w:hAnsi="宋体"/>
          <w:color w:val="000000"/>
          <w:szCs w:val="21"/>
        </w:rPr>
        <w:t xml:space="preserve">、电源线品牌：江南、远东、亚光等同档次或高于此档次产品； </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3</w:t>
      </w:r>
      <w:r>
        <w:rPr>
          <w:rFonts w:hint="eastAsia" w:ascii="宋体" w:hAnsi="宋体"/>
          <w:color w:val="000000"/>
          <w:szCs w:val="21"/>
        </w:rPr>
        <w:t>、配管品牌：公元、联塑、中财等同档次或高于此档次产品；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4</w:t>
      </w:r>
      <w:r>
        <w:rPr>
          <w:rFonts w:hint="eastAsia" w:ascii="宋体" w:hAnsi="宋体"/>
          <w:color w:val="000000"/>
          <w:szCs w:val="21"/>
        </w:rPr>
        <w:t>、配电箱品牌：ABB、施耐德、西门子等同档次或高于此档次产品；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5</w:t>
      </w:r>
      <w:r>
        <w:rPr>
          <w:rFonts w:hint="eastAsia" w:ascii="宋体" w:hAnsi="宋体"/>
          <w:color w:val="000000"/>
          <w:szCs w:val="21"/>
        </w:rPr>
        <w:t>、网线及水晶头品牌：TP-LinK、绿联、山泽等同档次或高于此档次产品；</w:t>
      </w:r>
    </w:p>
    <w:p>
      <w:pPr>
        <w:autoSpaceDE w:val="0"/>
        <w:autoSpaceDN w:val="0"/>
        <w:adjustRightInd w:val="0"/>
        <w:spacing w:line="360" w:lineRule="auto"/>
        <w:ind w:left="420" w:firstLine="210" w:firstLineChars="100"/>
        <w:rPr>
          <w:rFonts w:hint="eastAsia" w:ascii="宋体" w:hAnsi="宋体"/>
          <w:color w:val="000000"/>
          <w:szCs w:val="21"/>
        </w:rPr>
      </w:pPr>
      <w:r>
        <w:rPr>
          <w:rFonts w:hint="eastAsia" w:ascii="宋体" w:hAnsi="宋体"/>
          <w:color w:val="000000"/>
          <w:szCs w:val="21"/>
          <w:lang w:val="en-US" w:eastAsia="zh-CN"/>
        </w:rPr>
        <w:t>6</w:t>
      </w:r>
      <w:r>
        <w:rPr>
          <w:rFonts w:hint="eastAsia" w:ascii="宋体" w:hAnsi="宋体"/>
          <w:color w:val="000000"/>
          <w:szCs w:val="21"/>
        </w:rPr>
        <w:t>、</w:t>
      </w:r>
      <w:r>
        <w:rPr>
          <w:rFonts w:hint="eastAsia" w:ascii="宋体" w:hAnsi="宋体"/>
          <w:color w:val="000000"/>
          <w:szCs w:val="21"/>
          <w:lang w:val="en-US" w:eastAsia="zh-CN"/>
        </w:rPr>
        <w:t>防尘防静电漆、乳胶漆</w:t>
      </w:r>
      <w:r>
        <w:rPr>
          <w:rFonts w:hint="eastAsia" w:ascii="宋体" w:hAnsi="宋体"/>
          <w:color w:val="000000"/>
          <w:szCs w:val="21"/>
        </w:rPr>
        <w:t>品牌：为立邦、多乐士、三棵树等同档次或高于此档次产品；</w:t>
      </w:r>
    </w:p>
    <w:p>
      <w:pPr>
        <w:autoSpaceDE w:val="0"/>
        <w:autoSpaceDN w:val="0"/>
        <w:adjustRightInd w:val="0"/>
        <w:spacing w:line="360" w:lineRule="auto"/>
        <w:ind w:left="420" w:firstLine="210" w:firstLineChars="100"/>
        <w:rPr>
          <w:rFonts w:hint="eastAsia" w:hAnsi="宋体"/>
          <w:bCs/>
          <w:color w:val="auto"/>
          <w:szCs w:val="22"/>
          <w:highlight w:val="none"/>
        </w:rPr>
      </w:pPr>
      <w:r>
        <w:rPr>
          <w:rFonts w:hint="eastAsia" w:ascii="宋体" w:hAnsi="宋体"/>
          <w:color w:val="000000"/>
          <w:szCs w:val="21"/>
          <w:lang w:val="en-US" w:eastAsia="zh-CN"/>
        </w:rPr>
        <w:t>7、其他主材需要经过校方认可后方可使用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yellow"/>
          <w:lang w:val="en-US" w:eastAsia="zh-CN"/>
        </w:rPr>
        <w:t>20</w:t>
      </w:r>
      <w:r>
        <w:rPr>
          <w:rFonts w:hint="eastAsia" w:hAnsi="宋体"/>
          <w:bCs/>
          <w:color w:val="auto"/>
          <w:highlight w:val="yellow"/>
        </w:rPr>
        <w:t>日历</w:t>
      </w:r>
      <w:r>
        <w:rPr>
          <w:rFonts w:hint="eastAsia" w:hAnsi="宋体"/>
          <w:bCs/>
          <w:color w:val="auto"/>
          <w:highlight w:val="yellow"/>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六</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合同价格形式为单价合同</w:t>
      </w:r>
      <w:r>
        <w:rPr>
          <w:rFonts w:hint="eastAsia" w:hAnsi="宋体"/>
          <w:bCs/>
          <w:highlight w:val="none"/>
        </w:rPr>
        <w:t>，包含人工、材料、机械、运输费、安装、竣工资料、垃圾清运、质保期内的保修服务费、保险、管理费、利润、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竣工并通过验收，付至合同价的 60%；审计完毕付至审核结算价（全额发票）的 97%；质保期满后无质量缺陷将 3%质保金一次性免息支付</w:t>
      </w:r>
      <w:r>
        <w:rPr>
          <w:rFonts w:hint="eastAsia" w:hAnsi="宋体"/>
          <w:bCs/>
          <w:highlight w:val="none"/>
        </w:rPr>
        <w:t>。</w:t>
      </w:r>
    </w:p>
    <w:p>
      <w:pPr>
        <w:widowControl/>
        <w:ind w:firstLine="420" w:firstLineChars="200"/>
        <w:rPr>
          <w:rFonts w:hAnsi="宋体"/>
          <w:bCs/>
          <w:highlight w:val="none"/>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jc w:val="both"/>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27008"/>
      <w:bookmarkStart w:id="70" w:name="_Toc25132"/>
      <w:bookmarkStart w:id="71" w:name="_Toc31574"/>
      <w:bookmarkStart w:id="72" w:name="_Toc743"/>
      <w:bookmarkStart w:id="73" w:name="_Toc26593"/>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120614282"/>
      <w:bookmarkStart w:id="76" w:name="_Toc49090576"/>
      <w:bookmarkStart w:id="77"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default" w:ascii="楷体" w:hAnsi="楷体" w:eastAsia="楷体" w:cs="楷体"/>
          <w:b/>
          <w:bCs/>
          <w:sz w:val="32"/>
          <w:szCs w:val="36"/>
          <w:lang w:val="en-US"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val="en-US" w:eastAsia="zh-CN"/>
        </w:rPr>
        <w:t>模块化网络机房装修</w:t>
      </w:r>
    </w:p>
    <w:p>
      <w:pPr>
        <w:ind w:left="1923" w:leftChars="304" w:hanging="1285" w:hangingChars="400"/>
        <w:rPr>
          <w:rFonts w:hint="default" w:ascii="楷体" w:hAnsi="楷体" w:eastAsia="楷体" w:cs="楷体"/>
          <w:b/>
          <w:bCs/>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w:t>
      </w:r>
      <w:r>
        <w:rPr>
          <w:rFonts w:hint="eastAsia" w:ascii="楷体" w:hAnsi="楷体" w:eastAsia="楷体" w:cs="楷体"/>
          <w:b/>
          <w:bCs/>
          <w:sz w:val="32"/>
          <w:szCs w:val="36"/>
          <w:lang w:val="en-US" w:eastAsia="zh-CN"/>
        </w:rPr>
        <w:t>151</w:t>
      </w:r>
    </w:p>
    <w:p>
      <w:pPr>
        <w:ind w:left="1923" w:leftChars="304" w:hanging="1285" w:hangingChars="400"/>
        <w:rPr>
          <w:rFonts w:hint="eastAsia"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769"/>
      <w:bookmarkStart w:id="80" w:name="_Toc14521"/>
      <w:bookmarkStart w:id="81" w:name="_Toc25957"/>
      <w:bookmarkStart w:id="82" w:name="_Toc13734"/>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南京交通职业技术学院</w:t>
      </w:r>
      <w:r>
        <w:rPr>
          <w:rFonts w:hint="eastAsia" w:ascii="楷体" w:hAnsi="楷体" w:eastAsia="楷体" w:cs="楷体"/>
          <w:b w:val="0"/>
          <w:bCs w:val="0"/>
          <w:sz w:val="24"/>
          <w:szCs w:val="24"/>
          <w:lang w:val="en-US" w:eastAsia="zh-CN"/>
        </w:rPr>
        <w:t>模块化网络机房装修</w:t>
      </w:r>
      <w:r>
        <w:rPr>
          <w:rFonts w:hint="eastAsia" w:ascii="楷体" w:hAnsi="楷体" w:eastAsia="楷体" w:cs="楷体"/>
          <w:b w:val="0"/>
          <w:bCs w:val="0"/>
          <w:sz w:val="24"/>
          <w:szCs w:val="24"/>
          <w:lang w:eastAsia="zh-CN"/>
        </w:rPr>
        <w:t>采购项目（采购编号为：JY2021</w:t>
      </w:r>
      <w:r>
        <w:rPr>
          <w:rFonts w:hint="eastAsia" w:ascii="楷体" w:hAnsi="楷体" w:eastAsia="楷体" w:cs="楷体"/>
          <w:b w:val="0"/>
          <w:bCs w:val="0"/>
          <w:sz w:val="24"/>
          <w:szCs w:val="24"/>
          <w:lang w:val="en-US" w:eastAsia="zh-CN"/>
        </w:rPr>
        <w:t>151</w:t>
      </w:r>
      <w:r>
        <w:rPr>
          <w:rFonts w:hint="eastAsia" w:ascii="楷体" w:hAnsi="楷体" w:eastAsia="楷体" w:cs="楷体"/>
          <w:b w:val="0"/>
          <w:bCs w:val="0"/>
          <w:sz w:val="24"/>
          <w:szCs w:val="24"/>
          <w:lang w:eastAsia="zh-CN"/>
        </w:rPr>
        <w:t>）竞争性磋商文件（包括更正公告，如果有的话）收悉，我们经详细审阅和研究，现决定参加磋商。</w:t>
      </w:r>
    </w:p>
    <w:p>
      <w:pPr>
        <w:widowControl/>
        <w:snapToGrid w:val="0"/>
        <w:spacing w:before="19" w:line="500" w:lineRule="exact"/>
        <w:ind w:firstLine="480" w:firstLineChars="200"/>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eastAsia="zh-CN"/>
        </w:rPr>
        <w:t xml:space="preserve"> </w:t>
      </w:r>
      <w:r>
        <w:rPr>
          <w:rFonts w:hint="eastAsia" w:ascii="楷体" w:hAnsi="楷体" w:eastAsia="楷体" w:cs="楷体"/>
          <w:b w:val="0"/>
          <w:bCs w:val="0"/>
          <w:sz w:val="24"/>
          <w:szCs w:val="24"/>
          <w:lang w:val="en-US" w:eastAsia="zh-CN"/>
        </w:rPr>
        <w:t xml:space="preserve"> </w:t>
      </w:r>
      <w:r>
        <w:rPr>
          <w:rFonts w:hint="eastAsia" w:ascii="楷体" w:hAnsi="楷体" w:eastAsia="楷体" w:cs="楷体"/>
          <w:b w:val="0"/>
          <w:bCs w:val="0"/>
          <w:sz w:val="24"/>
          <w:szCs w:val="24"/>
          <w:lang w:eastAsia="zh-CN"/>
        </w:rPr>
        <w:t xml:space="preserve"> 2、我们接受竞争性磋商文件的所有的条款和规定。</w:t>
      </w:r>
    </w:p>
    <w:p>
      <w:pPr>
        <w:widowControl/>
        <w:snapToGrid w:val="0"/>
        <w:spacing w:before="19" w:line="500" w:lineRule="exact"/>
        <w:ind w:firstLine="240" w:firstLineChars="100"/>
        <w:rPr>
          <w:rFonts w:ascii="楷体" w:hAnsi="楷体" w:eastAsia="楷体" w:cs="楷体"/>
          <w:sz w:val="24"/>
          <w:szCs w:val="24"/>
        </w:rPr>
      </w:pPr>
      <w:r>
        <w:rPr>
          <w:rFonts w:hint="eastAsia" w:ascii="楷体" w:hAnsi="楷体" w:eastAsia="楷体" w:cs="楷体"/>
          <w:b w:val="0"/>
          <w:bCs w:val="0"/>
          <w:sz w:val="24"/>
          <w:szCs w:val="24"/>
          <w:lang w:eastAsia="zh-CN"/>
        </w:rPr>
        <w:t xml:space="preserve"> </w:t>
      </w:r>
      <w:r>
        <w:rPr>
          <w:rFonts w:hint="eastAsia" w:ascii="楷体" w:hAnsi="楷体" w:eastAsia="楷体" w:cs="楷体"/>
          <w:sz w:val="24"/>
          <w:szCs w:val="24"/>
        </w:rPr>
        <w:t>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4264"/>
      <w:bookmarkStart w:id="86" w:name="_Toc10933"/>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default" w:ascii="楷体" w:hAnsi="楷体" w:eastAsia="楷体" w:cs="楷体"/>
                <w:b/>
                <w:bCs/>
                <w:sz w:val="24"/>
                <w:szCs w:val="24"/>
                <w:lang w:val="en-US" w:eastAsia="zh-CN"/>
              </w:rPr>
            </w:pPr>
            <w:r>
              <w:rPr>
                <w:rFonts w:hint="eastAsia" w:ascii="楷体" w:hAnsi="楷体" w:eastAsia="楷体" w:cs="楷体"/>
                <w:b/>
                <w:bCs/>
                <w:sz w:val="24"/>
                <w:szCs w:val="24"/>
                <w:lang w:eastAsia="zh-CN"/>
              </w:rPr>
              <w:t>南京交通职业技术学院</w:t>
            </w:r>
            <w:r>
              <w:rPr>
                <w:rFonts w:hint="eastAsia" w:ascii="楷体" w:hAnsi="楷体" w:eastAsia="楷体" w:cs="楷体"/>
                <w:b/>
                <w:bCs/>
                <w:sz w:val="24"/>
                <w:szCs w:val="24"/>
                <w:lang w:val="en-US" w:eastAsia="zh-CN"/>
              </w:rPr>
              <w:t>模块化网络机房装修</w:t>
            </w:r>
          </w:p>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w:t>
            </w:r>
            <w:r>
              <w:rPr>
                <w:rFonts w:hint="eastAsia" w:ascii="楷体" w:hAnsi="楷体" w:eastAsia="楷体" w:cs="楷体"/>
                <w:b/>
                <w:bCs/>
                <w:sz w:val="24"/>
                <w:szCs w:val="24"/>
                <w:lang w:val="en-US" w:eastAsia="zh-CN"/>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5613"/>
      <w:bookmarkStart w:id="89" w:name="_Toc818"/>
      <w:bookmarkStart w:id="90"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690"/>
      <w:bookmarkStart w:id="93" w:name="_Toc1752"/>
      <w:bookmarkStart w:id="94" w:name="_Toc32133"/>
      <w:bookmarkStart w:id="95" w:name="_Toc8031"/>
      <w:bookmarkStart w:id="96" w:name="_Toc351733250"/>
      <w:bookmarkStart w:id="97" w:name="_Toc16074"/>
      <w:bookmarkStart w:id="98" w:name="_Toc365968485"/>
      <w:bookmarkStart w:id="99" w:name="_Toc448482858"/>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32325"/>
      <w:bookmarkStart w:id="103" w:name="_Toc25230"/>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407"/>
      <w:bookmarkStart w:id="105" w:name="_Toc5890"/>
      <w:bookmarkStart w:id="106" w:name="_Toc26771"/>
      <w:bookmarkStart w:id="107" w:name="_Toc25699"/>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w:t>
      </w:r>
      <w:r>
        <w:rPr>
          <w:rFonts w:hint="eastAsia" w:ascii="宋体" w:hAnsi="宋体" w:cs="宋体"/>
          <w:color w:val="000000"/>
          <w:kern w:val="0"/>
          <w:sz w:val="24"/>
          <w:lang w:val="en-US" w:eastAsia="zh-CN"/>
        </w:rPr>
        <w:t>1</w:t>
      </w: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highlight w:val="yellow"/>
        </w:rPr>
        <w:t>竣工并通过验收，付至合同价的60%；审计完毕付至审核结算价（全额发票）的9</w:t>
      </w:r>
      <w:r>
        <w:rPr>
          <w:rFonts w:hint="eastAsia" w:ascii="宋体" w:hAnsi="宋体" w:cs="宋体"/>
          <w:color w:val="000000"/>
          <w:kern w:val="0"/>
          <w:sz w:val="24"/>
          <w:highlight w:val="yellow"/>
          <w:lang w:val="en-US" w:eastAsia="zh-CN"/>
        </w:rPr>
        <w:t>7</w:t>
      </w:r>
      <w:r>
        <w:rPr>
          <w:rFonts w:hint="eastAsia" w:ascii="宋体" w:hAnsi="宋体" w:cs="宋体"/>
          <w:color w:val="000000"/>
          <w:kern w:val="0"/>
          <w:sz w:val="24"/>
          <w:highlight w:val="yellow"/>
        </w:rPr>
        <w:t>%；质保期满后无质量缺陷将</w:t>
      </w:r>
      <w:r>
        <w:rPr>
          <w:rFonts w:hint="eastAsia" w:ascii="宋体" w:hAnsi="宋体" w:cs="宋体"/>
          <w:color w:val="000000"/>
          <w:kern w:val="0"/>
          <w:sz w:val="24"/>
          <w:highlight w:val="yellow"/>
          <w:lang w:val="en-US" w:eastAsia="zh-CN"/>
        </w:rPr>
        <w:t>3</w:t>
      </w:r>
      <w:r>
        <w:rPr>
          <w:rFonts w:hint="eastAsia" w:ascii="宋体" w:hAnsi="宋体" w:cs="宋体"/>
          <w:color w:val="000000"/>
          <w:kern w:val="0"/>
          <w:sz w:val="24"/>
          <w:highlight w:val="yellow"/>
        </w:rPr>
        <w:t>%尾款一次性免息支付</w:t>
      </w:r>
      <w:r>
        <w:rPr>
          <w:rFonts w:hint="eastAsia" w:ascii="宋体" w:hAnsi="宋体" w:cs="宋体"/>
          <w:color w:val="000000"/>
          <w:kern w:val="0"/>
          <w:sz w:val="24"/>
        </w:rPr>
        <w:t>。</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工程竣工验收合格后</w:t>
      </w:r>
      <w:r>
        <w:rPr>
          <w:rFonts w:hint="eastAsia" w:ascii="宋体" w:hAnsi="宋体" w:cs="宋体"/>
          <w:color w:val="FF6600"/>
          <w:kern w:val="0"/>
          <w:sz w:val="24"/>
          <w:u w:val="single"/>
          <w:lang w:val="en-US" w:eastAsia="zh-CN"/>
        </w:rPr>
        <w:t>20</w:t>
      </w:r>
      <w:r>
        <w:rPr>
          <w:rFonts w:hint="eastAsia" w:ascii="宋体" w:hAnsi="宋体" w:cs="宋体"/>
          <w:color w:val="FF6600"/>
          <w:kern w:val="0"/>
          <w:sz w:val="24"/>
          <w:u w:val="single"/>
        </w:rPr>
        <w:t xml:space="preserve">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w:t>
      </w:r>
      <w:r>
        <w:rPr>
          <w:rFonts w:hint="eastAsia" w:ascii="宋体" w:hAnsi="宋体" w:cs="宋体"/>
          <w:kern w:val="0"/>
          <w:sz w:val="24"/>
          <w:szCs w:val="22"/>
          <w:highlight w:val="yellow"/>
          <w:u w:val="single"/>
        </w:rPr>
        <w:t>捌份，甲方</w:t>
      </w:r>
      <w:r>
        <w:rPr>
          <w:rFonts w:hint="eastAsia" w:ascii="宋体" w:hAnsi="宋体" w:cs="宋体"/>
          <w:kern w:val="0"/>
          <w:sz w:val="24"/>
          <w:szCs w:val="22"/>
          <w:highlight w:val="yellow"/>
          <w:u w:val="single"/>
          <w:lang w:val="en-US" w:eastAsia="zh-CN"/>
        </w:rPr>
        <w:t>陆</w:t>
      </w:r>
      <w:r>
        <w:rPr>
          <w:rFonts w:hint="eastAsia" w:ascii="宋体" w:hAnsi="宋体" w:cs="宋体"/>
          <w:kern w:val="0"/>
          <w:sz w:val="24"/>
          <w:szCs w:val="22"/>
          <w:highlight w:val="yellow"/>
          <w:u w:val="single"/>
        </w:rPr>
        <w:t>份，乙方</w:t>
      </w:r>
      <w:r>
        <w:rPr>
          <w:rFonts w:hint="eastAsia" w:ascii="宋体" w:hAnsi="宋体" w:cs="宋体"/>
          <w:kern w:val="0"/>
          <w:sz w:val="24"/>
          <w:szCs w:val="22"/>
          <w:highlight w:val="yellow"/>
          <w:u w:val="single"/>
          <w:lang w:val="en-US" w:eastAsia="zh-CN"/>
        </w:rPr>
        <w:t>贰</w:t>
      </w:r>
      <w:r>
        <w:rPr>
          <w:rFonts w:hint="eastAsia" w:ascii="宋体" w:hAnsi="宋体" w:cs="宋体"/>
          <w:kern w:val="0"/>
          <w:sz w:val="24"/>
          <w:szCs w:val="22"/>
          <w:highlight w:val="yellow"/>
          <w:u w:val="single"/>
        </w:rPr>
        <w:t>份</w:t>
      </w:r>
      <w:r>
        <w:rPr>
          <w:rFonts w:hint="eastAsia" w:ascii="宋体" w:hAnsi="宋体" w:cs="宋体"/>
          <w:kern w:val="0"/>
          <w:sz w:val="24"/>
          <w:szCs w:val="22"/>
          <w:u w:val="single"/>
        </w:rPr>
        <w:t>＿＿＿</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rPr>
          <w:rFonts w:hint="eastAsia" w:eastAsia="宋体"/>
          <w:highlight w:val="yellow"/>
          <w:lang w:eastAsia="zh-CN"/>
        </w:rPr>
      </w:pPr>
      <w:r>
        <w:rPr>
          <w:rFonts w:hint="eastAsia"/>
          <w:highlight w:val="yellow"/>
        </w:rPr>
        <w:t>6、高校建设项目结算审计，应按下列规定支付审计费用：</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（一）核减率〔（送审金额-结算审定金额）/送审金额*100%〕大于5%的建设工程项目，审计费由施工单位全额承担；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（二）核减率小于5%（含）的建设工程项目，审计费由学校全额承担；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（三）同一施工单位发生单项工程核减率超过15%的次数达到2次的，将列入学校施工供应单位黑名单，不得再参与学校其他工程项目建设。</w:t>
      </w:r>
    </w:p>
    <w:p>
      <w:pPr>
        <w:pStyle w:val="20"/>
        <w:spacing w:before="156" w:beforeLines="50" w:beforeAutospacing="0" w:after="156" w:afterLines="50" w:afterAutospacing="0" w:line="400" w:lineRule="exact"/>
        <w:ind w:firstLine="480" w:firstLineChars="200"/>
        <w:rPr>
          <w:rFonts w:hint="eastAsia"/>
        </w:rPr>
      </w:pPr>
      <w:r>
        <w:rPr>
          <w:rFonts w:hint="eastAsia"/>
          <w:highlight w:val="yellow"/>
        </w:rPr>
        <w:t xml:space="preserve">核减率按审计最终核定额与施工单位申报的结算额之间的差额计算。 </w:t>
      </w:r>
      <w:r>
        <w:rPr>
          <w:rFonts w:hint="eastAsia"/>
        </w:rPr>
        <w:t xml:space="preserve">   </w:t>
      </w:r>
    </w:p>
    <w:p>
      <w:pPr>
        <w:pStyle w:val="20"/>
        <w:spacing w:before="156" w:beforeLines="50" w:beforeAutospacing="0" w:after="156" w:afterLines="50" w:afterAutospacing="0" w:line="400" w:lineRule="exact"/>
        <w:ind w:firstLine="480" w:firstLineChars="200"/>
      </w:pPr>
      <w:r>
        <w:rPr>
          <w:rFonts w:hint="eastAsia"/>
        </w:rPr>
        <w:t>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28944"/>
      <w:bookmarkStart w:id="113" w:name="_Toc13019"/>
      <w:bookmarkStart w:id="114" w:name="_Toc2873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eastAsia="zh-CN"/>
        </w:rPr>
        <w:t>兹委托受托人合法地代表我单位参加南京交通职业技术学院组织的（采购编号为：JY2021</w:t>
      </w:r>
      <w:r>
        <w:rPr>
          <w:rFonts w:hint="eastAsia" w:ascii="楷体" w:hAnsi="楷体" w:eastAsia="楷体" w:cs="楷体"/>
          <w:b w:val="0"/>
          <w:bCs w:val="0"/>
          <w:sz w:val="24"/>
          <w:szCs w:val="24"/>
          <w:lang w:val="en-US" w:eastAsia="zh-CN"/>
        </w:rPr>
        <w:t>151</w:t>
      </w:r>
      <w:r>
        <w:rPr>
          <w:rFonts w:hint="eastAsia" w:ascii="楷体" w:hAnsi="楷体" w:eastAsia="楷体" w:cs="楷体"/>
          <w:b w:val="0"/>
          <w:bCs w:val="0"/>
          <w:sz w:val="24"/>
          <w:szCs w:val="24"/>
          <w:lang w:eastAsia="zh-CN"/>
        </w:rPr>
        <w:t>）南京交通职业技术学院</w:t>
      </w:r>
      <w:r>
        <w:rPr>
          <w:rFonts w:hint="eastAsia" w:ascii="楷体" w:hAnsi="楷体" w:eastAsia="楷体" w:cs="楷体"/>
          <w:b w:val="0"/>
          <w:bCs w:val="0"/>
          <w:sz w:val="24"/>
          <w:szCs w:val="24"/>
          <w:lang w:val="en-US" w:eastAsia="zh-CN"/>
        </w:rPr>
        <w:t>模块化网络机房装修</w:t>
      </w:r>
    </w:p>
    <w:p>
      <w:pPr>
        <w:spacing w:line="360" w:lineRule="auto"/>
        <w:ind w:firstLine="480" w:firstLineChars="200"/>
        <w:rPr>
          <w:rFonts w:ascii="楷体" w:hAnsi="楷体" w:eastAsia="楷体" w:cs="楷体"/>
          <w:sz w:val="24"/>
          <w:szCs w:val="24"/>
        </w:rPr>
      </w:pPr>
      <w:r>
        <w:rPr>
          <w:rFonts w:hint="eastAsia" w:ascii="楷体" w:hAnsi="楷体" w:eastAsia="楷体" w:cs="楷体"/>
          <w:b w:val="0"/>
          <w:bCs w:val="0"/>
          <w:sz w:val="24"/>
          <w:szCs w:val="24"/>
          <w:lang w:eastAsia="zh-CN"/>
        </w:rPr>
        <w:t>项目的采购活动，受托人有权在该采购活动中，以我单位的名义签署磋商函和磋商响应文件，与采购人协商、澄清、解释，质疑，签订合同书</w:t>
      </w:r>
      <w:r>
        <w:rPr>
          <w:rFonts w:hint="eastAsia" w:ascii="楷体" w:hAnsi="楷体" w:eastAsia="楷体" w:cs="楷体"/>
          <w:sz w:val="24"/>
          <w:szCs w:val="24"/>
        </w:rPr>
        <w:t>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9521"/>
      <w:bookmarkStart w:id="117" w:name="_Toc9284"/>
      <w:bookmarkStart w:id="118" w:name="_Toc27307"/>
      <w:bookmarkStart w:id="119" w:name="_Toc2252"/>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8873"/>
      <w:bookmarkStart w:id="124" w:name="_Toc30482"/>
      <w:bookmarkStart w:id="125" w:name="_Toc28753"/>
      <w:bookmarkStart w:id="126" w:name="_Toc26453"/>
      <w:bookmarkStart w:id="127" w:name="_Toc10944"/>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12129"/>
      <w:bookmarkStart w:id="129" w:name="_Toc4338"/>
      <w:bookmarkStart w:id="130" w:name="_Toc26218"/>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31660"/>
      <w:bookmarkStart w:id="134" w:name="_Toc10887"/>
      <w:bookmarkStart w:id="135" w:name="_Toc30780"/>
      <w:bookmarkStart w:id="136" w:name="_Toc11048"/>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w:t>
    </w:r>
    <w:r>
      <w:rPr>
        <w:rFonts w:hint="eastAsia"/>
        <w:lang w:val="en-US" w:eastAsia="zh-CN"/>
      </w:rPr>
      <w:t>151</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53685E"/>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E60E0C"/>
    <w:rsid w:val="15F170FF"/>
    <w:rsid w:val="161556B7"/>
    <w:rsid w:val="16222214"/>
    <w:rsid w:val="16225D81"/>
    <w:rsid w:val="163B52CD"/>
    <w:rsid w:val="164173EC"/>
    <w:rsid w:val="1649695B"/>
    <w:rsid w:val="16715406"/>
    <w:rsid w:val="167C2417"/>
    <w:rsid w:val="168318C8"/>
    <w:rsid w:val="1687716E"/>
    <w:rsid w:val="169B3BE0"/>
    <w:rsid w:val="16B52472"/>
    <w:rsid w:val="16C23B99"/>
    <w:rsid w:val="16D37C71"/>
    <w:rsid w:val="16E04D7B"/>
    <w:rsid w:val="16E64F85"/>
    <w:rsid w:val="17111ED0"/>
    <w:rsid w:val="17733041"/>
    <w:rsid w:val="17BA74F5"/>
    <w:rsid w:val="17BF3781"/>
    <w:rsid w:val="17DA26B4"/>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4545A"/>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911ED8"/>
    <w:rsid w:val="3CAF528D"/>
    <w:rsid w:val="3CB52A2C"/>
    <w:rsid w:val="3CC02F5B"/>
    <w:rsid w:val="3CE71B70"/>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1F27961"/>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2364"/>
    <w:rsid w:val="50D45BEA"/>
    <w:rsid w:val="50D810F5"/>
    <w:rsid w:val="51695C50"/>
    <w:rsid w:val="517A3B9E"/>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42102"/>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6538FB"/>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204347"/>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56BC"/>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BD1505"/>
    <w:rsid w:val="79D22AD2"/>
    <w:rsid w:val="79FD7A91"/>
    <w:rsid w:val="7A013DD2"/>
    <w:rsid w:val="7A1E1EBE"/>
    <w:rsid w:val="7A355787"/>
    <w:rsid w:val="7A4D5DAB"/>
    <w:rsid w:val="7A5154CE"/>
    <w:rsid w:val="7A7A71DD"/>
    <w:rsid w:val="7A842335"/>
    <w:rsid w:val="7AAB262C"/>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14</TotalTime>
  <ScaleCrop>false</ScaleCrop>
  <LinksUpToDate>false</LinksUpToDate>
  <CharactersWithSpaces>20006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2021-11-01T08:55:56Z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SaveFontToCloudKey">
    <vt:lpwstr>8068780_cloud</vt:lpwstr>
  </property>
  <property fmtid="{D5CDD505-2E9C-101B-9397-08002B2CF9AE}" pid="4" name="ICV">
    <vt:lpwstr>54B62DDAC8FC43549A48A2C3A298111E</vt:lpwstr>
  </property>
</Properties>
</file>