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36"/>
          <w:szCs w:val="36"/>
        </w:rPr>
      </w:pPr>
      <w:bookmarkStart w:id="0" w:name="_Toc342241484"/>
      <w:bookmarkStart w:id="1" w:name="_Toc337620797"/>
      <w:bookmarkStart w:id="2" w:name="_Toc341988481"/>
      <w:bookmarkStart w:id="3" w:name="_Toc337622980"/>
      <w:bookmarkStart w:id="4" w:name="_Toc341992707"/>
      <w:bookmarkStart w:id="5" w:name="_Toc341993786"/>
      <w:bookmarkStart w:id="6" w:name="_Toc341991041"/>
      <w:bookmarkStart w:id="7" w:name="_Toc341993112"/>
      <w:bookmarkStart w:id="8" w:name="_Toc341992627"/>
      <w:bookmarkStart w:id="9" w:name="_Toc342252860"/>
      <w:r>
        <w:rPr>
          <w:rFonts w:hint="eastAsia" w:asciiTheme="minorEastAsia" w:hAnsiTheme="minorEastAsia" w:eastAsiaTheme="minorEastAsia"/>
          <w:b/>
          <w:bCs/>
          <w:sz w:val="36"/>
          <w:szCs w:val="36"/>
        </w:rPr>
        <w:t>南京交通职业技术学院驾培中心南侧围墙改造工程项目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8"/>
        <w:ind w:firstLine="0"/>
        <w:jc w:val="center"/>
        <w:rPr>
          <w:rFonts w:asciiTheme="minorEastAsia" w:hAnsiTheme="minorEastAsia" w:eastAsiaTheme="minorEastAsia"/>
          <w:b/>
          <w:bCs/>
          <w:sz w:val="36"/>
          <w:szCs w:val="36"/>
        </w:rPr>
      </w:pPr>
    </w:p>
    <w:p>
      <w:pPr>
        <w:pStyle w:val="18"/>
        <w:spacing w:before="0" w:after="0"/>
        <w:ind w:firstLine="0"/>
        <w:jc w:val="center"/>
        <w:rPr>
          <w:rFonts w:hint="default"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采购编号：JY20190</w:t>
      </w:r>
      <w:r>
        <w:rPr>
          <w:rFonts w:hint="eastAsia" w:asciiTheme="minorEastAsia" w:hAnsiTheme="minorEastAsia" w:eastAsiaTheme="minorEastAsia"/>
          <w:b/>
          <w:bCs/>
          <w:sz w:val="36"/>
          <w:szCs w:val="36"/>
          <w:lang w:val="en-US" w:eastAsia="zh-CN"/>
        </w:rPr>
        <w:t>67</w:t>
      </w: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8"/>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8"/>
        <w:spacing w:before="0" w:after="0"/>
        <w:ind w:firstLine="0"/>
        <w:jc w:val="center"/>
        <w:rPr>
          <w:rFonts w:asciiTheme="minorEastAsia" w:hAnsiTheme="minorEastAsia" w:eastAsiaTheme="minorEastAsia"/>
          <w:b/>
          <w:bCs/>
          <w:sz w:val="36"/>
          <w:szCs w:val="36"/>
          <w:lang w:val="zh-CN"/>
        </w:rPr>
      </w:pPr>
    </w:p>
    <w:p>
      <w:pPr>
        <w:pStyle w:val="18"/>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lang w:val="en-US" w:eastAsia="zh-CN"/>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lang w:val="en-US" w:eastAsia="zh-CN"/>
        </w:rPr>
        <w:t>六</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479757206"/>
      <w:bookmarkStart w:id="12" w:name="_Toc403987193"/>
      <w:bookmarkStart w:id="13" w:name="_Toc513029200"/>
      <w:bookmarkStart w:id="14" w:name="_Toc523127445"/>
      <w:bookmarkStart w:id="15" w:name="_Toc403986986"/>
      <w:bookmarkStart w:id="16" w:name="_Toc20823272"/>
      <w:bookmarkStart w:id="17" w:name="_Toc120614210"/>
      <w:bookmarkStart w:id="18" w:name="_Toc16938516"/>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0"/>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0"/>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0"/>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0"/>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0"/>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17</w:t>
      </w:r>
      <w:r>
        <w:fldChar w:fldCharType="end"/>
      </w:r>
      <w: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10131"/>
      <w:bookmarkStart w:id="20" w:name="OLE_LINK2"/>
      <w:bookmarkStart w:id="21" w:name="_Toc26554093"/>
      <w:bookmarkStart w:id="22" w:name="_Toc120614281"/>
      <w:bookmarkStart w:id="23" w:name="OLE_LINK1"/>
      <w:bookmarkStart w:id="24" w:name="_Toc49090575"/>
      <w:bookmarkStart w:id="25" w:name="_Toc462564139"/>
      <w:bookmarkStart w:id="26" w:name="_Toc479757211"/>
      <w:bookmarkStart w:id="27" w:name="_Toc341988484"/>
      <w:bookmarkStart w:id="28" w:name="_Toc337622790"/>
      <w:bookmarkStart w:id="29" w:name="_Toc342241487"/>
      <w:bookmarkStart w:id="30" w:name="_Toc337622278"/>
      <w:bookmarkStart w:id="31" w:name="_Toc403560410"/>
      <w:bookmarkStart w:id="32" w:name="_Toc342497332"/>
      <w:bookmarkStart w:id="33" w:name="_Toc337620620"/>
      <w:bookmarkStart w:id="34" w:name="_Toc337620800"/>
      <w:bookmarkStart w:id="35" w:name="_Toc337584644"/>
      <w:bookmarkStart w:id="36" w:name="_Toc337622590"/>
      <w:bookmarkStart w:id="37" w:name="_Toc337622251"/>
      <w:bookmarkStart w:id="38" w:name="_Ref352791871"/>
      <w:bookmarkStart w:id="39" w:name="_Toc365619242"/>
      <w:bookmarkStart w:id="40" w:name="_Toc342558384"/>
      <w:bookmarkStart w:id="41" w:name="_Toc341992630"/>
      <w:bookmarkStart w:id="42" w:name="_Toc337584877"/>
      <w:bookmarkStart w:id="43" w:name="_Toc341993788"/>
      <w:bookmarkStart w:id="44" w:name="_Toc337622983"/>
      <w:bookmarkStart w:id="45" w:name="_Toc342374716"/>
      <w:bookmarkStart w:id="46" w:name="_Toc373781378"/>
      <w:bookmarkStart w:id="47" w:name="_Toc337622690"/>
      <w:bookmarkStart w:id="48" w:name="_Toc337622640"/>
      <w:bookmarkStart w:id="49" w:name="_Toc337620692"/>
      <w:bookmarkStart w:id="50" w:name="_Toc341992710"/>
      <w:bookmarkStart w:id="51" w:name="_Toc341993114"/>
      <w:bookmarkStart w:id="52" w:name="_Toc341991044"/>
      <w:bookmarkStart w:id="53" w:name="_Toc342252863"/>
      <w:bookmarkStart w:id="54" w:name="_Toc403401434"/>
      <w:bookmarkStart w:id="55" w:name="_Toc337584958"/>
      <w:bookmarkStart w:id="56" w:name="_Toc366517151"/>
      <w:bookmarkStart w:id="57" w:name="_Toc337622372"/>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hint="default" w:asciiTheme="minorEastAsia" w:hAnsiTheme="minorEastAsia" w:eastAsiaTheme="minorEastAsia"/>
          <w:sz w:val="21"/>
          <w:lang w:val="en-US" w:eastAsia="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其驾培中心南侧围墙改造工程</w:t>
      </w:r>
      <w:r>
        <w:rPr>
          <w:rFonts w:hint="eastAsia" w:asciiTheme="minorEastAsia" w:hAnsiTheme="minorEastAsia" w:eastAsiaTheme="minorEastAsia"/>
          <w:sz w:val="21"/>
          <w:lang w:val="zh-CN"/>
        </w:rPr>
        <w:t>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19"/>
        <w:numPr>
          <w:ilvl w:val="0"/>
          <w:numId w:val="0"/>
        </w:numPr>
        <w:ind w:firstLine="420" w:firstLineChars="200"/>
        <w:outlineLvl w:val="9"/>
        <w:rPr>
          <w:rFonts w:hint="eastAsia"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项目名称：南京交通职业技术学院驾培中心南侧围墙改造工程</w:t>
      </w:r>
    </w:p>
    <w:p>
      <w:pPr>
        <w:pStyle w:val="19"/>
        <w:numPr>
          <w:ilvl w:val="0"/>
          <w:numId w:val="0"/>
        </w:numPr>
        <w:ind w:firstLine="420" w:firstLineChars="200"/>
        <w:outlineLvl w:val="9"/>
        <w:rPr>
          <w:rFonts w:hint="default"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JY20190</w:t>
      </w:r>
      <w:r>
        <w:rPr>
          <w:rFonts w:hint="eastAsia" w:asciiTheme="minorEastAsia" w:hAnsiTheme="minorEastAsia" w:eastAsiaTheme="minorEastAsia" w:cstheme="minorEastAsia"/>
          <w:b w:val="0"/>
          <w:bCs/>
          <w:sz w:val="21"/>
          <w:lang w:val="en-US" w:eastAsia="zh-CN"/>
        </w:rPr>
        <w:t>67</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19"/>
        <w:numPr>
          <w:ilvl w:val="0"/>
          <w:numId w:val="0"/>
        </w:numPr>
        <w:ind w:firstLine="420" w:firstLineChars="200"/>
        <w:outlineLvl w:val="9"/>
        <w:rPr>
          <w:rFonts w:hint="default" w:asciiTheme="minorEastAsia" w:hAnsiTheme="minorEastAsia" w:eastAsiaTheme="minorEastAsia" w:cstheme="minorEastAsia"/>
          <w:b w:val="0"/>
          <w:bCs/>
          <w:kern w:val="2"/>
          <w:sz w:val="21"/>
          <w:lang w:val="en-US" w:eastAsia="zh-CN"/>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南京交通职业技术学院驾培中心南侧围墙改造工程</w:t>
      </w:r>
      <w:r>
        <w:rPr>
          <w:rFonts w:hint="eastAsia" w:asciiTheme="minorEastAsia" w:hAnsiTheme="minorEastAsia" w:eastAsiaTheme="minorEastAsia" w:cstheme="minorEastAsia"/>
          <w:b w:val="0"/>
          <w:bCs/>
          <w:kern w:val="2"/>
          <w:sz w:val="21"/>
          <w:lang w:eastAsia="zh-CN"/>
        </w:rPr>
        <w:t>，</w:t>
      </w:r>
      <w:r>
        <w:rPr>
          <w:rFonts w:hint="eastAsia" w:asciiTheme="minorEastAsia" w:hAnsiTheme="minorEastAsia" w:eastAsiaTheme="minorEastAsia" w:cstheme="minorEastAsia"/>
          <w:b w:val="0"/>
          <w:bCs/>
          <w:kern w:val="2"/>
          <w:sz w:val="21"/>
          <w:lang w:val="en-US" w:eastAsia="zh-CN"/>
        </w:rPr>
        <w:t>预算人民币57.88万。</w:t>
      </w:r>
      <w:bookmarkStart w:id="94" w:name="_GoBack"/>
      <w:bookmarkEnd w:id="94"/>
    </w:p>
    <w:p>
      <w:pPr>
        <w:pStyle w:val="19"/>
        <w:numPr>
          <w:ilvl w:val="0"/>
          <w:numId w:val="0"/>
        </w:numPr>
        <w:ind w:firstLine="420" w:firstLineChars="200"/>
        <w:outlineLvl w:val="9"/>
        <w:rPr>
          <w:rFonts w:hAnsi="宋体" w:eastAsia="宋体" w:cs="宋体"/>
          <w:spacing w:val="9"/>
          <w:sz w:val="21"/>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招标项目的技术规格、要求、数量和样品提交等详见第五章。</w:t>
      </w:r>
    </w:p>
    <w:p>
      <w:pPr>
        <w:pStyle w:val="19"/>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w:t>
      </w:r>
      <w:r>
        <w:rPr>
          <w:rFonts w:hint="eastAsia" w:asciiTheme="minorEastAsia" w:hAnsiTheme="minorEastAsia" w:eastAsiaTheme="minorEastAsia" w:cstheme="minorEastAsia"/>
          <w:bCs/>
          <w:snapToGrid w:val="0"/>
          <w:sz w:val="21"/>
          <w:lang w:val="en-US" w:eastAsia="zh-CN"/>
        </w:rPr>
        <w:t>9</w:t>
      </w:r>
      <w:r>
        <w:rPr>
          <w:rFonts w:hint="eastAsia" w:asciiTheme="minorEastAsia" w:hAnsiTheme="minorEastAsia" w:eastAsiaTheme="minorEastAsia" w:cstheme="minorEastAsia"/>
          <w:bCs/>
          <w:snapToGrid w:val="0"/>
          <w:sz w:val="21"/>
        </w:rPr>
        <w:t>-20</w:t>
      </w:r>
      <w:r>
        <w:rPr>
          <w:rFonts w:hint="eastAsia" w:asciiTheme="minorEastAsia" w:hAnsiTheme="minorEastAsia" w:eastAsiaTheme="minorEastAsia" w:cstheme="minorEastAsia"/>
          <w:bCs/>
          <w:snapToGrid w:val="0"/>
          <w:sz w:val="21"/>
          <w:lang w:val="en-US" w:eastAsia="zh-CN"/>
        </w:rPr>
        <w:t>20</w:t>
      </w:r>
      <w:r>
        <w:rPr>
          <w:rFonts w:hint="eastAsia" w:asciiTheme="minorEastAsia" w:hAnsiTheme="minorEastAsia" w:eastAsiaTheme="minorEastAsia" w:cstheme="minorEastAsia"/>
          <w:bCs/>
          <w:snapToGrid w:val="0"/>
          <w:sz w:val="21"/>
        </w:rPr>
        <w:t>年度江苏省省级机关、事业单位限额内工程定点采购分包一、分包二成交单位。</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1"/>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6</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18</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份。未按要求装订，作废件处理。</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6</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20</w:t>
      </w:r>
      <w:r>
        <w:rPr>
          <w:rFonts w:hint="eastAsia" w:asciiTheme="minorEastAsia" w:hAnsiTheme="minorEastAsia" w:eastAsiaTheme="minorEastAsia" w:cstheme="minorEastAsia"/>
          <w:bCs/>
          <w:sz w:val="21"/>
          <w:szCs w:val="21"/>
        </w:rPr>
        <w:t xml:space="preserve">日 </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6</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20</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13</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5</w:t>
      </w:r>
      <w:r>
        <w:rPr>
          <w:rFonts w:hint="eastAsia" w:asciiTheme="minorEastAsia" w:hAnsiTheme="minorEastAsia" w:eastAsiaTheme="minorEastAsia" w:cstheme="minorEastAsia"/>
          <w:bCs/>
          <w:sz w:val="21"/>
          <w:szCs w:val="21"/>
        </w:rPr>
        <w:t xml:space="preserve">0 </w:t>
      </w:r>
    </w:p>
    <w:p>
      <w:pPr>
        <w:pStyle w:val="21"/>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9"/>
        <w:numPr>
          <w:ilvl w:val="0"/>
          <w:numId w:val="0"/>
        </w:numPr>
        <w:rPr>
          <w:rFonts w:hint="eastAsia"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19"/>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w:t>
      </w:r>
      <w:r>
        <w:rPr>
          <w:rFonts w:hint="eastAsia" w:asciiTheme="minorEastAsia" w:hAnsiTheme="minorEastAsia" w:eastAsiaTheme="minorEastAsia" w:cstheme="minorEastAsia"/>
          <w:b w:val="0"/>
          <w:bCs/>
          <w:sz w:val="21"/>
          <w:lang w:val="en-US" w:eastAsia="zh-CN"/>
        </w:rPr>
        <w:t>壹万</w:t>
      </w:r>
      <w:r>
        <w:rPr>
          <w:rFonts w:hint="eastAsia" w:asciiTheme="minorEastAsia" w:hAnsiTheme="minorEastAsia" w:eastAsiaTheme="minorEastAsia" w:cstheme="minorEastAsia"/>
          <w:b w:val="0"/>
          <w:bCs/>
          <w:sz w:val="21"/>
        </w:rPr>
        <w:t>圆整(</w:t>
      </w:r>
      <w:r>
        <w:rPr>
          <w:rFonts w:hint="eastAsia" w:asciiTheme="minorEastAsia" w:hAnsiTheme="minorEastAsia" w:eastAsiaTheme="minorEastAsia" w:cstheme="minorEastAsia"/>
          <w:b w:val="0"/>
          <w:bCs/>
          <w:sz w:val="21"/>
          <w:lang w:eastAsia="zh-CN"/>
        </w:rPr>
        <w:t>现金</w:t>
      </w:r>
      <w:r>
        <w:rPr>
          <w:rFonts w:hint="eastAsia" w:asciiTheme="minorEastAsia" w:hAnsiTheme="minorEastAsia" w:eastAsiaTheme="minorEastAsia" w:cstheme="minorEastAsia"/>
          <w:b w:val="0"/>
          <w:bCs/>
          <w:sz w:val="21"/>
        </w:rPr>
        <w:t>信封密封好</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现场收取)， 成交后转为履约保证金（履约保证金不足部分按合同规定金额补齐）。</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现场自行勘探。 采购单位联系人：张老师     联系电话：025—86115729</w:t>
      </w:r>
    </w:p>
    <w:p>
      <w:pPr>
        <w:pStyle w:val="20"/>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竞争性磋商文件编制：刘老师</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lang w:val="en-US" w:eastAsia="zh-CN"/>
        </w:rPr>
        <w:t>男</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 xml:space="preserve">        联系电话：025—86115873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1"/>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20823309"/>
      <w:bookmarkStart w:id="67" w:name="_Toc513029237"/>
      <w:bookmarkStart w:id="68" w:name="_Toc16938553"/>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3"/>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w:t>
            </w:r>
            <w:r>
              <w:rPr>
                <w:rFonts w:hint="eastAsia" w:cs="宋体" w:asciiTheme="minorEastAsia" w:hAnsiTheme="minorEastAsia" w:eastAsiaTheme="minorEastAsia"/>
                <w:sz w:val="21"/>
                <w:lang w:val="en-US" w:eastAsia="zh-CN"/>
              </w:rPr>
              <w:t>7</w:t>
            </w:r>
            <w:r>
              <w:rPr>
                <w:rFonts w:hint="eastAsia" w:cs="宋体" w:asciiTheme="minorEastAsia" w:hAnsiTheme="minorEastAsia" w:eastAsiaTheme="minorEastAsia"/>
                <w:sz w:val="21"/>
              </w:rPr>
              <w:t>年1月1日起，供应商具有类似项目的成功案例（需提供发票，发票内容清晰可见），有1个得1分，满分5分。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1155"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6"/>
          <w:rFonts w:hint="eastAsia" w:cs="Arial" w:asciiTheme="minorEastAsia" w:hAnsiTheme="minorEastAsia" w:eastAsiaTheme="minorEastAsia"/>
          <w:i w:val="0"/>
          <w:iCs w:val="0"/>
          <w:sz w:val="21"/>
          <w:shd w:val="clear" w:color="auto" w:fill="FFFFFF"/>
        </w:rPr>
        <w:t>采购人</w:t>
      </w:r>
      <w:r>
        <w:rPr>
          <w:rStyle w:val="16"/>
          <w:rFonts w:cs="Arial" w:asciiTheme="minorEastAsia" w:hAnsiTheme="minorEastAsia" w:eastAsiaTheme="minorEastAsia"/>
          <w:i w:val="0"/>
          <w:iCs w:val="0"/>
          <w:sz w:val="21"/>
          <w:shd w:val="clear" w:color="auto" w:fill="FFFFFF"/>
        </w:rPr>
        <w:t>有权在</w:t>
      </w:r>
      <w:r>
        <w:rPr>
          <w:rStyle w:val="16"/>
          <w:rFonts w:hint="eastAsia" w:cs="Arial" w:asciiTheme="minorEastAsia" w:hAnsiTheme="minorEastAsia" w:eastAsiaTheme="minorEastAsia"/>
          <w:i w:val="0"/>
          <w:iCs w:val="0"/>
          <w:sz w:val="21"/>
          <w:shd w:val="clear" w:color="auto" w:fill="FFFFFF"/>
        </w:rPr>
        <w:t>磋商</w:t>
      </w:r>
      <w:r>
        <w:rPr>
          <w:rStyle w:val="16"/>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80" w:name="_Toc216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0"/>
    </w:p>
    <w:p>
      <w:pPr>
        <w:spacing w:line="500" w:lineRule="exact"/>
        <w:rPr>
          <w:rFonts w:hAnsi="宋体"/>
          <w:b/>
          <w:szCs w:val="28"/>
        </w:rPr>
      </w:pPr>
      <w:bookmarkStart w:id="81"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2"/>
        <w:keepNext w:val="0"/>
        <w:keepLines w:val="0"/>
        <w:jc w:val="center"/>
        <w:rPr>
          <w:rFonts w:asciiTheme="minorEastAsia" w:hAnsiTheme="minorEastAsia" w:eastAsiaTheme="minorEastAsia" w:cstheme="majorEastAsia"/>
          <w:sz w:val="24"/>
          <w:szCs w:val="24"/>
        </w:rPr>
      </w:pPr>
      <w:bookmarkStart w:id="82" w:name="_Toc16941"/>
      <w:r>
        <w:rPr>
          <w:rFonts w:hint="eastAsia" w:asciiTheme="minorEastAsia" w:hAnsiTheme="minorEastAsia" w:eastAsiaTheme="minorEastAsia" w:cstheme="majorEastAsia"/>
          <w:sz w:val="24"/>
          <w:szCs w:val="24"/>
        </w:rPr>
        <w:t xml:space="preserve">第五章  </w:t>
      </w:r>
      <w:bookmarkEnd w:id="81"/>
      <w:r>
        <w:rPr>
          <w:rFonts w:hint="eastAsia" w:asciiTheme="minorEastAsia" w:hAnsiTheme="minorEastAsia" w:eastAsiaTheme="minorEastAsia" w:cstheme="majorEastAsia"/>
          <w:sz w:val="24"/>
          <w:szCs w:val="24"/>
        </w:rPr>
        <w:t>采购项目的技术规格、要求和数量等</w:t>
      </w:r>
      <w:bookmarkEnd w:id="82"/>
    </w:p>
    <w:bookmarkEnd w:id="20"/>
    <w:bookmarkEnd w:id="21"/>
    <w:bookmarkEnd w:id="22"/>
    <w:bookmarkEnd w:id="23"/>
    <w:bookmarkEnd w:id="24"/>
    <w:bookmarkEnd w:id="64"/>
    <w:p>
      <w:pPr>
        <w:ind w:firstLine="411" w:firstLineChars="196"/>
        <w:rPr>
          <w:rFonts w:hint="eastAsia" w:cs="宋体" w:asciiTheme="minorEastAsia" w:hAnsiTheme="minorEastAsia" w:eastAsiaTheme="minorEastAsia"/>
          <w:sz w:val="21"/>
        </w:rPr>
      </w:pPr>
      <w:bookmarkStart w:id="83" w:name="_Toc403987220"/>
      <w:r>
        <w:rPr>
          <w:rFonts w:hint="eastAsia" w:cs="宋体" w:asciiTheme="minorEastAsia" w:hAnsiTheme="minorEastAsia" w:eastAsiaTheme="minorEastAsia"/>
          <w:sz w:val="21"/>
        </w:rPr>
        <w:t>一、项目名称：驾培中心南侧围墙改造工程</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二、项目控制价：人民币57.88万。</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三、项目内容：驾培中心南侧围墙改造工程（清单见附件）。</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四、响应商资格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-20</w:t>
      </w:r>
      <w:r>
        <w:rPr>
          <w:rFonts w:hint="eastAsia" w:cs="宋体" w:asciiTheme="minorEastAsia" w:hAnsiTheme="minorEastAsia" w:eastAsiaTheme="minorEastAsia"/>
          <w:sz w:val="21"/>
          <w:lang w:val="en-US" w:eastAsia="zh-CN"/>
        </w:rPr>
        <w:t>20</w:t>
      </w:r>
      <w:r>
        <w:rPr>
          <w:rFonts w:hint="eastAsia" w:cs="宋体" w:asciiTheme="minorEastAsia" w:hAnsiTheme="minorEastAsia" w:eastAsiaTheme="minorEastAsia"/>
          <w:sz w:val="21"/>
        </w:rPr>
        <w:t>年度江苏省省级机关、事业单位限额内工程定点采购分包一、分包二成交单位。</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五、响应说明及要求（第3、4条必须在响应文件中做出书面承诺）</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响应商在认真阅读询价文件后须撰写服务承诺书并提供以下证明及资料：</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1、法定代表人身份证明和法定代表人对业务代表的正式授权书（一个单位不得委托多人代理，一人不得代理多个单位，否则响应无效）；</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3、成交人需承诺其承担的工程项目在合同期内全部验收合格。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4、成交人需承诺不得将成交项目转包及其它违规行为，一经发现立即取消定点施工资格，并按相关法律法规上报处理。</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6、响应商根据项目情况，客观报价，如发现恶意报价行为，作废标处理。</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7、磋商保证金1万元，成交后转为履约保证金。</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8、项目前期招标技术服务费：3800元（项目前期方案编制、图纸绘制费900元，控制价及招标工程量清单编制费2900元）,由中标单位支付给咨询公司，支付时间为中标后7个工作日内，开工前提供付款凭证给校方。</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9、单项工程提供详细施工技术方案及未来清单报价表（含综合单价分析表等），并附光盘。</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六、材质及质量要求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主材必须严格选用优质、环保、无腐蚀性产品，材料进场提供产品合格证并办理材料报验手续；施工规范符合现行国家规范；工程质量要求为：合格。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主要材料品牌及样品提供要求：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1围栏（样品：提供小样）</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七、工期要求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20日历日。开工日期以甲方通知为准。施工现场要保证不影响正常教学和办公。</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八、施工管理要求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2、主材检测：业主可随时对工程主要材料选择送检，检测费用包含在响应价内，如发现以次充好或不合格材料，除及时更换合格产品外，每发现一处扣罚款2000元。</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3、主要材料进场须经业主确认。</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4、图纸设计若有不符合现行规范、规定、标准等或其他不到位之处，施工单位必须提出，待业主确认后再施工，否则因此造成的质量事故由施工单位承担。</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5、隐蔽工程或部位必须报甲方同意后，方可进入下一步工序并自行留存相关资料，否则结算不予承认。</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6、施工管理中，未按规定要求（安全文明施工、质量标准等方面）进行施工、管理的，罚款300-500元/次。</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7、单项工程提供详细施工技术方案及未来清单报价表（含综合单价分析表等），并附光盘。</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九、响应报价</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十、付款方式</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竣工并通过验收，付至合同价的60%；审计完毕付至审核结算价（全额发票）的95%；质保期满后无质量缺陷将5%尾款一次性免息支付。</w:t>
      </w:r>
    </w:p>
    <w:p>
      <w:pPr>
        <w:widowControl/>
        <w:ind w:firstLine="480" w:firstLineChars="200"/>
        <w:rPr>
          <w:rFonts w:asciiTheme="minorEastAsia" w:hAnsiTheme="minorEastAsia" w:eastAsiaTheme="minorEastAsia"/>
          <w:bCs/>
          <w:sz w:val="24"/>
          <w:szCs w:val="24"/>
        </w:rPr>
      </w:pPr>
    </w:p>
    <w:p>
      <w:pPr>
        <w:jc w:val="center"/>
        <w:rPr>
          <w:rFonts w:cs="宋体" w:asciiTheme="minorEastAsia" w:hAnsiTheme="minorEastAsia" w:eastAsiaTheme="minorEastAsia"/>
          <w:sz w:val="36"/>
          <w:szCs w:val="36"/>
        </w:rPr>
      </w:pPr>
    </w:p>
    <w:p>
      <w:pPr>
        <w:pStyle w:val="2"/>
        <w:keepNext w:val="0"/>
        <w:keepLines w:val="0"/>
        <w:jc w:val="center"/>
        <w:rPr>
          <w:rFonts w:hint="eastAsia" w:asciiTheme="minorEastAsia" w:hAnsiTheme="minorEastAsia" w:eastAsiaTheme="minorEastAsia" w:cstheme="majorEastAsia"/>
          <w:sz w:val="36"/>
          <w:szCs w:val="36"/>
        </w:rPr>
      </w:pPr>
      <w:bookmarkStart w:id="84" w:name="_Toc8246"/>
    </w:p>
    <w:p>
      <w:pPr>
        <w:pStyle w:val="2"/>
        <w:keepNext w:val="0"/>
        <w:keepLines w:val="0"/>
        <w:jc w:val="center"/>
        <w:rPr>
          <w:rFonts w:asciiTheme="minorEastAsia" w:hAnsiTheme="minorEastAsia" w:eastAsiaTheme="minorEastAsia" w:cstheme="majorEastAsia"/>
          <w:sz w:val="36"/>
          <w:szCs w:val="36"/>
        </w:rPr>
      </w:pPr>
      <w:r>
        <w:rPr>
          <w:rFonts w:hint="eastAsia" w:asciiTheme="minorEastAsia" w:hAnsiTheme="minorEastAsia" w:eastAsiaTheme="minorEastAsia" w:cstheme="majorEastAsia"/>
          <w:sz w:val="36"/>
          <w:szCs w:val="36"/>
        </w:rPr>
        <w:t>第六章  响应文件格式</w:t>
      </w:r>
      <w:bookmarkEnd w:id="83"/>
      <w:bookmarkEnd w:id="84"/>
    </w:p>
    <w:p>
      <w:pPr>
        <w:jc w:val="center"/>
        <w:rPr>
          <w:rFonts w:asciiTheme="minorEastAsia" w:hAnsiTheme="minorEastAsia" w:eastAsiaTheme="minorEastAsia"/>
          <w:b/>
          <w:sz w:val="72"/>
        </w:rPr>
      </w:pPr>
      <w:bookmarkStart w:id="85" w:name="_Hlt26671244"/>
      <w:bookmarkEnd w:id="85"/>
      <w:bookmarkStart w:id="86" w:name="_Hlt26955039"/>
      <w:bookmarkEnd w:id="86"/>
      <w:bookmarkStart w:id="87" w:name="_Toc120614282"/>
      <w:bookmarkStart w:id="88" w:name="_Toc49090576"/>
      <w:bookmarkStart w:id="89"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7"/>
    <w:bookmarkEnd w:id="88"/>
    <w:bookmarkEnd w:id="89"/>
    <w:p>
      <w:pPr>
        <w:widowControl/>
        <w:adjustRightInd/>
        <w:spacing w:line="240" w:lineRule="auto"/>
        <w:jc w:val="center"/>
        <w:textAlignment w:val="auto"/>
        <w:rPr>
          <w:rStyle w:val="22"/>
          <w:rFonts w:asciiTheme="minorEastAsia" w:hAnsiTheme="minorEastAsia" w:eastAsiaTheme="minorEastAsia"/>
          <w:color w:val="auto"/>
        </w:rPr>
      </w:pPr>
      <w:r>
        <w:rPr>
          <w:rFonts w:asciiTheme="minorEastAsia" w:hAnsiTheme="minorEastAsia" w:eastAsiaTheme="minorEastAsia"/>
          <w:b/>
          <w:sz w:val="30"/>
          <w:szCs w:val="30"/>
        </w:rPr>
        <w:br w:type="page"/>
      </w:r>
      <w:r>
        <w:rPr>
          <w:rStyle w:val="22"/>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3"/>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lang w:val="en-US" w:eastAsia="zh-CN"/>
              </w:rPr>
              <w:t>2018年度</w:t>
            </w: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3"/>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w:t>
            </w:r>
            <w:r>
              <w:rPr>
                <w:rFonts w:hint="eastAsia" w:cs="宋体" w:asciiTheme="minorEastAsia" w:hAnsiTheme="minorEastAsia" w:eastAsiaTheme="minorEastAsia"/>
                <w:sz w:val="21"/>
                <w:lang w:val="en-US" w:eastAsia="zh-CN"/>
              </w:rPr>
              <w:t>7</w:t>
            </w:r>
            <w:r>
              <w:rPr>
                <w:rFonts w:hint="eastAsia" w:cs="宋体" w:asciiTheme="minorEastAsia" w:hAnsiTheme="minorEastAsia" w:eastAsiaTheme="minorEastAsia"/>
                <w:sz w:val="21"/>
              </w:rPr>
              <w:t>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1155"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2"/>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w:t>
      </w:r>
      <w:r>
        <w:rPr>
          <w:rFonts w:hint="eastAsia" w:asciiTheme="minorEastAsia" w:hAnsiTheme="minorEastAsia" w:eastAsiaTheme="minorEastAsia"/>
          <w:sz w:val="21"/>
          <w:lang w:val="en-US" w:eastAsia="zh-CN"/>
        </w:rPr>
        <w:t xml:space="preserve"> </w:t>
      </w:r>
      <w:r>
        <w:rPr>
          <w:rFonts w:hint="eastAsia" w:asciiTheme="minorEastAsia" w:hAnsiTheme="minorEastAsia" w:eastAsiaTheme="minorEastAsia"/>
          <w:sz w:val="21"/>
        </w:rPr>
        <w:t>（大写）元人民币。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2"/>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3"/>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both"/>
        <w:rPr>
          <w:rStyle w:val="22"/>
          <w:rFonts w:hint="eastAsia" w:asciiTheme="minorEastAsia" w:hAnsiTheme="minorEastAsia" w:eastAsiaTheme="minorEastAsia"/>
          <w:color w:val="auto"/>
          <w:sz w:val="30"/>
          <w:szCs w:val="30"/>
        </w:rPr>
      </w:pPr>
    </w:p>
    <w:p>
      <w:pPr>
        <w:jc w:val="both"/>
        <w:rPr>
          <w:rStyle w:val="22"/>
          <w:rFonts w:hint="eastAsia" w:asciiTheme="minorEastAsia" w:hAnsiTheme="minorEastAsia" w:eastAsiaTheme="minorEastAsia"/>
          <w:color w:val="auto"/>
          <w:sz w:val="30"/>
          <w:szCs w:val="30"/>
        </w:rPr>
      </w:pPr>
      <w:r>
        <w:rPr>
          <w:rStyle w:val="22"/>
          <w:rFonts w:hint="eastAsia" w:asciiTheme="minorEastAsia" w:hAnsiTheme="minorEastAsia" w:eastAsiaTheme="minorEastAsia"/>
          <w:color w:val="auto"/>
          <w:sz w:val="30"/>
          <w:szCs w:val="30"/>
          <w:lang w:val="en-US" w:eastAsia="zh-CN"/>
        </w:rPr>
        <w:t>注：</w:t>
      </w:r>
      <w:r>
        <w:rPr>
          <w:rStyle w:val="22"/>
          <w:rFonts w:hint="eastAsia" w:asciiTheme="minorEastAsia" w:hAnsiTheme="minorEastAsia" w:eastAsiaTheme="minorEastAsia"/>
          <w:color w:val="auto"/>
          <w:sz w:val="30"/>
          <w:szCs w:val="30"/>
        </w:rPr>
        <w:t>报价附未来软件综合分析表，否则视为无效报价。</w:t>
      </w: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Fonts w:hint="eastAsia"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四、未来软件综合单价分析</w:t>
      </w:r>
    </w:p>
    <w:p>
      <w:pPr>
        <w:widowControl/>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3"/>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3"/>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3"/>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六</w:t>
      </w:r>
      <w:r>
        <w:rPr>
          <w:rFonts w:hint="eastAsia" w:asciiTheme="minorEastAsia" w:hAnsiTheme="minorEastAsia" w:eastAsiaTheme="minorEastAsia"/>
          <w:b/>
          <w:color w:val="000000"/>
          <w:sz w:val="30"/>
          <w:szCs w:val="30"/>
        </w:rPr>
        <w:t>、商务条款偏离表</w:t>
      </w:r>
    </w:p>
    <w:p>
      <w:pPr>
        <w:widowControl/>
        <w:rPr>
          <w:rFonts w:cs="宋体" w:asciiTheme="minorEastAsia" w:hAnsiTheme="minorEastAsia" w:eastAsiaTheme="minorEastAsia"/>
          <w:color w:val="000000"/>
          <w:sz w:val="21"/>
          <w:lang w:val="zh-CN"/>
        </w:rPr>
      </w:pPr>
    </w:p>
    <w:tbl>
      <w:tblPr>
        <w:tblStyle w:val="13"/>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snapToGrid w:val="0"/>
        <w:spacing w:before="50" w:after="50"/>
        <w:jc w:val="center"/>
        <w:rPr>
          <w:rFonts w:hint="eastAsia" w:asciiTheme="minorEastAsia" w:hAnsiTheme="minorEastAsia" w:eastAsiaTheme="minorEastAsia"/>
          <w:b/>
          <w:sz w:val="30"/>
          <w:szCs w:val="30"/>
        </w:rPr>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lang w:val="en-US" w:eastAsia="zh-CN"/>
        </w:rPr>
        <w:t>七</w:t>
      </w:r>
      <w:r>
        <w:rPr>
          <w:rFonts w:hint="eastAsia" w:asciiTheme="minorEastAsia" w:hAnsiTheme="minorEastAsia" w:eastAsiaTheme="minorEastAsia"/>
          <w:b/>
          <w:sz w:val="30"/>
          <w:szCs w:val="30"/>
        </w:rPr>
        <w:t>、磋商文件要求及供应商认为需要提供的证明文件及材料等（格式自拟）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八</w:t>
      </w:r>
      <w:r>
        <w:rPr>
          <w:rFonts w:hint="eastAsia" w:asciiTheme="minorEastAsia" w:hAnsiTheme="minorEastAsia" w:eastAsiaTheme="minorEastAsia"/>
          <w:b/>
          <w:color w:val="000000"/>
          <w:sz w:val="30"/>
          <w:szCs w:val="30"/>
        </w:rPr>
        <w:t>、中小企业声明函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0" w:name="_Toc351731637"/>
      <w:bookmarkStart w:id="91" w:name="_Toc465082424"/>
      <w:bookmarkStart w:id="92" w:name="_Toc464724913"/>
      <w:bookmarkStart w:id="93" w:name="_Toc264974219"/>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九</w:t>
      </w:r>
      <w:r>
        <w:rPr>
          <w:rFonts w:hint="eastAsia" w:asciiTheme="minorEastAsia" w:hAnsiTheme="minorEastAsia" w:eastAsiaTheme="minorEastAsia"/>
          <w:b/>
          <w:color w:val="000000"/>
          <w:sz w:val="30"/>
          <w:szCs w:val="30"/>
        </w:rPr>
        <w:t>、无重大违法记录声明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0"/>
      <w:bookmarkEnd w:id="91"/>
      <w:bookmarkEnd w:id="92"/>
      <w:bookmarkEnd w:id="93"/>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一</w:t>
      </w:r>
      <w:r>
        <w:rPr>
          <w:rFonts w:hint="eastAsia" w:asciiTheme="minorEastAsia" w:hAnsiTheme="minorEastAsia" w:eastAsiaTheme="minorEastAsia"/>
          <w:b/>
          <w:bCs/>
          <w:sz w:val="30"/>
          <w:szCs w:val="30"/>
        </w:rPr>
        <w:t>、财务状况报告，依法缴纳税收和社会保障资金的相关材料格式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二</w:t>
      </w:r>
      <w:r>
        <w:rPr>
          <w:rFonts w:hint="eastAsia" w:asciiTheme="minorEastAsia" w:hAnsiTheme="minorEastAsia" w:eastAsiaTheme="minorEastAsia"/>
          <w:b/>
          <w:bCs/>
          <w:sz w:val="30"/>
          <w:szCs w:val="30"/>
        </w:rPr>
        <w:t>、履行合同所必需的设备和专业技术能力的证明材料格式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rPr>
        <w:rStyle w:val="15"/>
      </w:rPr>
      <w:fldChar w:fldCharType="begin"/>
    </w:r>
    <w:r>
      <w:rPr>
        <w:rStyle w:val="15"/>
      </w:rPr>
      <w:instrText xml:space="preserve">PAGE  </w:instrText>
    </w:r>
    <w:r>
      <w:rPr>
        <w:rStyle w:val="15"/>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5"/>
      </w:rPr>
    </w:pPr>
    <w:r>
      <w:rPr>
        <w:rStyle w:val="15"/>
      </w:rPr>
      <w:fldChar w:fldCharType="begin"/>
    </w:r>
    <w:r>
      <w:rPr>
        <w:rStyle w:val="15"/>
      </w:rPr>
      <w:instrText xml:space="preserve">PAGE  </w:instrText>
    </w:r>
    <w:r>
      <w:rPr>
        <w:rStyle w:val="15"/>
      </w:rPr>
      <w:fldChar w:fldCharType="separate"/>
    </w:r>
    <w:r>
      <w:rPr>
        <w:rStyle w:val="15"/>
      </w:rPr>
      <w:t>29</w:t>
    </w:r>
    <w:r>
      <w:rPr>
        <w:rStyle w:val="15"/>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AD63F7"/>
    <w:rsid w:val="05547EF2"/>
    <w:rsid w:val="055D3862"/>
    <w:rsid w:val="05A80354"/>
    <w:rsid w:val="082A085F"/>
    <w:rsid w:val="0D206993"/>
    <w:rsid w:val="0F2954C2"/>
    <w:rsid w:val="13765BE1"/>
    <w:rsid w:val="139448FB"/>
    <w:rsid w:val="15150FC3"/>
    <w:rsid w:val="177C42CC"/>
    <w:rsid w:val="18E67D5A"/>
    <w:rsid w:val="199E024F"/>
    <w:rsid w:val="1E2F0815"/>
    <w:rsid w:val="1E3C72FE"/>
    <w:rsid w:val="201C2A60"/>
    <w:rsid w:val="21365382"/>
    <w:rsid w:val="21F04025"/>
    <w:rsid w:val="23E541A3"/>
    <w:rsid w:val="262E3722"/>
    <w:rsid w:val="278A1943"/>
    <w:rsid w:val="28A1440C"/>
    <w:rsid w:val="28C6043E"/>
    <w:rsid w:val="2942005D"/>
    <w:rsid w:val="2CE87CA2"/>
    <w:rsid w:val="2DFB34F3"/>
    <w:rsid w:val="31225F10"/>
    <w:rsid w:val="33932BE6"/>
    <w:rsid w:val="33A00773"/>
    <w:rsid w:val="33BC1180"/>
    <w:rsid w:val="34FD7862"/>
    <w:rsid w:val="353848F1"/>
    <w:rsid w:val="35F654F2"/>
    <w:rsid w:val="36B742F3"/>
    <w:rsid w:val="3783349B"/>
    <w:rsid w:val="37DB0A41"/>
    <w:rsid w:val="3910217E"/>
    <w:rsid w:val="39FB1D26"/>
    <w:rsid w:val="3A3003A1"/>
    <w:rsid w:val="42006AC6"/>
    <w:rsid w:val="44FA448C"/>
    <w:rsid w:val="4720386C"/>
    <w:rsid w:val="49655E8C"/>
    <w:rsid w:val="4A062164"/>
    <w:rsid w:val="4BB5371F"/>
    <w:rsid w:val="4BC44E38"/>
    <w:rsid w:val="4DAA66B9"/>
    <w:rsid w:val="4DC05613"/>
    <w:rsid w:val="4FF7030B"/>
    <w:rsid w:val="5020390E"/>
    <w:rsid w:val="50C14D82"/>
    <w:rsid w:val="54383383"/>
    <w:rsid w:val="54860917"/>
    <w:rsid w:val="555039D2"/>
    <w:rsid w:val="55570EFF"/>
    <w:rsid w:val="564B4A20"/>
    <w:rsid w:val="56A0323C"/>
    <w:rsid w:val="56F12796"/>
    <w:rsid w:val="5A2027F8"/>
    <w:rsid w:val="5B3311C3"/>
    <w:rsid w:val="63033838"/>
    <w:rsid w:val="6774251A"/>
    <w:rsid w:val="685573EF"/>
    <w:rsid w:val="68C732CF"/>
    <w:rsid w:val="69644C01"/>
    <w:rsid w:val="6A237128"/>
    <w:rsid w:val="6AB870A1"/>
    <w:rsid w:val="6C7F18D1"/>
    <w:rsid w:val="6C9B2D13"/>
    <w:rsid w:val="6D771B7F"/>
    <w:rsid w:val="6E9F1E20"/>
    <w:rsid w:val="6F6E3B90"/>
    <w:rsid w:val="704E626A"/>
    <w:rsid w:val="704F6B31"/>
    <w:rsid w:val="70B94642"/>
    <w:rsid w:val="711B0440"/>
    <w:rsid w:val="71AD019D"/>
    <w:rsid w:val="72315292"/>
    <w:rsid w:val="728F2AA4"/>
    <w:rsid w:val="72BD0BF0"/>
    <w:rsid w:val="73C345F4"/>
    <w:rsid w:val="73EE345D"/>
    <w:rsid w:val="783A485F"/>
    <w:rsid w:val="783B34E0"/>
    <w:rsid w:val="78F67F05"/>
    <w:rsid w:val="7E3871F4"/>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hAnsi="宋体" w:cs="宋体"/>
      <w:sz w:val="24"/>
      <w:szCs w:val="24"/>
    </w:rPr>
  </w:style>
  <w:style w:type="character" w:styleId="15">
    <w:name w:val="page number"/>
    <w:basedOn w:val="14"/>
    <w:qFormat/>
    <w:uiPriority w:val="0"/>
  </w:style>
  <w:style w:type="character" w:styleId="16">
    <w:name w:val="Emphasis"/>
    <w:qFormat/>
    <w:uiPriority w:val="0"/>
    <w:rPr>
      <w:i/>
      <w:iCs/>
    </w:rPr>
  </w:style>
  <w:style w:type="character" w:styleId="17">
    <w:name w:val="Hyperlink"/>
    <w:basedOn w:val="14"/>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4"/>
    <w:link w:val="9"/>
    <w:qFormat/>
    <w:uiPriority w:val="0"/>
    <w:rPr>
      <w:rFonts w:ascii="宋体" w:eastAsia="仿宋"/>
      <w:sz w:val="18"/>
      <w:szCs w:val="18"/>
    </w:rPr>
  </w:style>
  <w:style w:type="character" w:customStyle="1" w:styleId="26">
    <w:name w:val="纯文本 Char"/>
    <w:basedOn w:val="14"/>
    <w:link w:val="6"/>
    <w:qFormat/>
    <w:uiPriority w:val="0"/>
    <w:rPr>
      <w:rFonts w:ascii="宋体" w:hAnsi="Courier New" w:eastAsia="仿宋"/>
      <w:sz w:val="21"/>
      <w:szCs w:val="21"/>
    </w:rPr>
  </w:style>
  <w:style w:type="paragraph" w:styleId="27">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0</TotalTime>
  <ScaleCrop>false</ScaleCrop>
  <LinksUpToDate>false</LinksUpToDate>
  <CharactersWithSpaces>16707</CharactersWithSpaces>
  <Application>WPS Office_11.3.0.8586_F1E327BC-269C-435d-A152-05C5408002CA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2018-05-24T06:15:00Z</cp:lastPrinted>
  <dcterms:modified xsi:type="dcterms:W3CDTF">2019-06-13T06:44:14Z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2052-11.3.0.8586</vt:lpwstr>
  </property>
</Properties>
</file>