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2252860"/>
      <w:bookmarkStart w:id="1" w:name="_Toc341992707"/>
      <w:bookmarkStart w:id="2" w:name="_Toc341993112"/>
      <w:bookmarkStart w:id="3" w:name="_Toc337620797"/>
      <w:bookmarkStart w:id="4" w:name="_Toc341993786"/>
      <w:bookmarkStart w:id="5" w:name="_Toc342241484"/>
      <w:bookmarkStart w:id="6" w:name="_Toc341991041"/>
      <w:bookmarkStart w:id="7" w:name="_Toc341992627"/>
      <w:bookmarkStart w:id="8" w:name="_Toc337622980"/>
      <w:bookmarkStart w:id="9" w:name="_Toc341988481"/>
      <w:r>
        <w:rPr>
          <w:rFonts w:hint="eastAsia" w:asciiTheme="minorEastAsia" w:hAnsiTheme="minorEastAsia" w:eastAsiaTheme="minorEastAsia"/>
          <w:b/>
          <w:bCs/>
          <w:sz w:val="36"/>
          <w:szCs w:val="36"/>
        </w:rPr>
        <w:t>南京交通职业技术学院图书馆门禁采购项目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9"/>
        <w:ind w:firstLine="0"/>
        <w:jc w:val="center"/>
        <w:rPr>
          <w:rFonts w:asciiTheme="minorEastAsia" w:hAnsiTheme="minorEastAsia" w:eastAsiaTheme="minorEastAsia"/>
          <w:b/>
          <w:bCs/>
          <w:sz w:val="36"/>
          <w:szCs w:val="36"/>
        </w:rPr>
      </w:pPr>
    </w:p>
    <w:p>
      <w:pPr>
        <w:pStyle w:val="19"/>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采购编号：JY2019106</w:t>
      </w:r>
    </w:p>
    <w:p>
      <w:pPr>
        <w:pStyle w:val="19"/>
        <w:spacing w:before="0" w:after="0"/>
        <w:ind w:firstLine="0"/>
        <w:rPr>
          <w:rFonts w:asciiTheme="minorEastAsia" w:hAnsiTheme="minorEastAsia" w:eastAsiaTheme="minorEastAsia"/>
          <w:sz w:val="36"/>
          <w:szCs w:val="36"/>
        </w:rPr>
      </w:pPr>
    </w:p>
    <w:p>
      <w:pPr>
        <w:pStyle w:val="19"/>
        <w:spacing w:before="0" w:after="0"/>
        <w:ind w:firstLine="0"/>
        <w:rPr>
          <w:rFonts w:asciiTheme="minorEastAsia" w:hAnsiTheme="minorEastAsia" w:eastAsiaTheme="minorEastAsia"/>
          <w:sz w:val="36"/>
          <w:szCs w:val="36"/>
        </w:rPr>
      </w:pPr>
    </w:p>
    <w:p>
      <w:pPr>
        <w:pStyle w:val="19"/>
        <w:spacing w:before="0" w:after="0"/>
        <w:ind w:firstLine="0"/>
        <w:rPr>
          <w:rFonts w:asciiTheme="minorEastAsia" w:hAnsiTheme="minorEastAsia" w:eastAsiaTheme="minorEastAsia"/>
          <w:sz w:val="36"/>
          <w:szCs w:val="36"/>
        </w:rPr>
      </w:pPr>
    </w:p>
    <w:p>
      <w:pPr>
        <w:pStyle w:val="19"/>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9"/>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9"/>
        <w:spacing w:before="0" w:after="0"/>
        <w:ind w:firstLine="0"/>
        <w:jc w:val="center"/>
        <w:rPr>
          <w:rFonts w:asciiTheme="minorEastAsia" w:hAnsiTheme="minorEastAsia" w:eastAsiaTheme="minorEastAsia"/>
          <w:b/>
          <w:bCs/>
          <w:sz w:val="36"/>
          <w:szCs w:val="36"/>
          <w:lang w:val="zh-CN"/>
        </w:rPr>
      </w:pPr>
    </w:p>
    <w:p>
      <w:pPr>
        <w:pStyle w:val="19"/>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03987193"/>
      <w:bookmarkStart w:id="12" w:name="_Toc479757206"/>
      <w:bookmarkStart w:id="13" w:name="_Toc16938516"/>
      <w:bookmarkStart w:id="14" w:name="_Toc120614210"/>
      <w:bookmarkStart w:id="15" w:name="_Toc513029200"/>
      <w:bookmarkStart w:id="16" w:name="_Toc20823272"/>
      <w:bookmarkStart w:id="17" w:name="_Toc403986986"/>
      <w:bookmarkStart w:id="18" w:name="_Toc523127445"/>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1"/>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1"/>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1"/>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1"/>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1"/>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_Toc26554093"/>
      <w:bookmarkStart w:id="21" w:name="OLE_LINK2"/>
      <w:bookmarkStart w:id="22" w:name="_Toc120614281"/>
      <w:bookmarkStart w:id="23" w:name="_Toc49090575"/>
      <w:bookmarkStart w:id="24" w:name="OLE_LINK1"/>
      <w:bookmarkStart w:id="25" w:name="_Toc462564139"/>
      <w:bookmarkStart w:id="26" w:name="_Toc479757211"/>
      <w:bookmarkStart w:id="27" w:name="_Toc341993788"/>
      <w:bookmarkStart w:id="28" w:name="_Toc342241487"/>
      <w:bookmarkStart w:id="29" w:name="_Toc337622790"/>
      <w:bookmarkStart w:id="30" w:name="_Toc403560410"/>
      <w:bookmarkStart w:id="31" w:name="_Toc341988484"/>
      <w:bookmarkStart w:id="32" w:name="_Toc337622278"/>
      <w:bookmarkStart w:id="33" w:name="_Toc337622251"/>
      <w:bookmarkStart w:id="34" w:name="_Toc337622590"/>
      <w:bookmarkStart w:id="35" w:name="_Ref352791871"/>
      <w:bookmarkStart w:id="36" w:name="_Toc337584644"/>
      <w:bookmarkStart w:id="37" w:name="_Toc342497332"/>
      <w:bookmarkStart w:id="38" w:name="_Toc337620800"/>
      <w:bookmarkStart w:id="39" w:name="_Toc337620620"/>
      <w:bookmarkStart w:id="40" w:name="_Toc341992630"/>
      <w:bookmarkStart w:id="41" w:name="_Toc337584877"/>
      <w:bookmarkStart w:id="42" w:name="_Toc373781378"/>
      <w:bookmarkStart w:id="43" w:name="_Toc337622690"/>
      <w:bookmarkStart w:id="44" w:name="_Toc337622640"/>
      <w:bookmarkStart w:id="45" w:name="_Toc337620692"/>
      <w:bookmarkStart w:id="46" w:name="_Toc341992710"/>
      <w:bookmarkStart w:id="47" w:name="_Toc341993114"/>
      <w:bookmarkStart w:id="48" w:name="_Toc341991044"/>
      <w:bookmarkStart w:id="49" w:name="_Toc342252863"/>
      <w:bookmarkStart w:id="50" w:name="_Toc403401434"/>
      <w:bookmarkStart w:id="51" w:name="_Toc337584958"/>
      <w:bookmarkStart w:id="52" w:name="_Toc366517151"/>
      <w:bookmarkStart w:id="53" w:name="_Toc337622372"/>
      <w:bookmarkStart w:id="54" w:name="_Toc342374716"/>
      <w:bookmarkStart w:id="55" w:name="_Toc342558384"/>
      <w:bookmarkStart w:id="56" w:name="_Toc365619242"/>
      <w:bookmarkStart w:id="57" w:name="_Toc337622983"/>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图书馆</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其图书馆门禁采购</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0"/>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0"/>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项目名称：南京交通职业技术学院图书馆门禁采购</w:t>
      </w:r>
    </w:p>
    <w:p>
      <w:pPr>
        <w:pStyle w:val="20"/>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JY2019106</w:t>
      </w:r>
    </w:p>
    <w:p>
      <w:pPr>
        <w:pStyle w:val="20"/>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0"/>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南京交通职业技术学院图书馆门禁采购，预算人民币14万。</w:t>
      </w:r>
    </w:p>
    <w:p>
      <w:pPr>
        <w:pStyle w:val="20"/>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响应报价超过限价将按无效响应处理。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磋商项目的技术规格、要求、数量等详见第五章。</w:t>
      </w:r>
    </w:p>
    <w:p>
      <w:pPr>
        <w:pStyle w:val="20"/>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3.2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0"/>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0"/>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2"/>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凡有意参加的响应商，请于2019年9月</w:t>
      </w:r>
      <w:r>
        <w:rPr>
          <w:rFonts w:hint="eastAsia" w:asciiTheme="minorEastAsia" w:hAnsiTheme="minorEastAsia" w:eastAsiaTheme="minorEastAsia" w:cstheme="minorEastAsia"/>
          <w:bCs/>
          <w:sz w:val="21"/>
          <w:szCs w:val="21"/>
          <w:lang w:val="en-US" w:eastAsia="zh-CN"/>
        </w:rPr>
        <w:t>26</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3、响应文件正、副本均须胶装，正本份数：1份，副本份数：2份。未按要求装订，作废件处理。</w:t>
      </w:r>
    </w:p>
    <w:p>
      <w:pPr>
        <w:pStyle w:val="22"/>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（三）响应文件接收时间：2019年9月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 xml:space="preserve">日 </w:t>
      </w:r>
    </w:p>
    <w:p>
      <w:pPr>
        <w:pStyle w:val="22"/>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（四）响应文件递交截止时间及开启时间：2019年9月</w:t>
      </w:r>
      <w:r>
        <w:rPr>
          <w:rFonts w:hint="eastAsia" w:asciiTheme="minorEastAsia" w:hAnsiTheme="minorEastAsia" w:eastAsiaTheme="minorEastAsia" w:cstheme="minorEastAsia"/>
          <w:bCs/>
          <w:sz w:val="21"/>
          <w:szCs w:val="21"/>
          <w:lang w:val="en-US" w:eastAsia="zh-CN"/>
        </w:rPr>
        <w:t>29</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2"/>
        <w:ind w:firstLine="42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0"/>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0"/>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磋商保证金：壹仟圆整(现金信封密封好，现场收取，现场退还）。</w:t>
      </w:r>
    </w:p>
    <w:p>
      <w:pPr>
        <w:pStyle w:val="20"/>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采购单位联系人：韦老师     联系电话：025—86115051</w:t>
      </w:r>
    </w:p>
    <w:p>
      <w:pPr>
        <w:pStyle w:val="21"/>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八、磋商要求</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供应商应符合采购文件规定的质量、规格和性能的要求，在院方要求下及时送货安装调试，并全部验收合格达到国家或行业规定的标准，并对来源合法性负责。</w:t>
      </w:r>
    </w:p>
    <w:p>
      <w:pPr>
        <w:pStyle w:val="20"/>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20"/>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0"/>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2"/>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《中华人民共和国政府采购法》、《中华人民共和国政府采购法实施条例》、《政府采购非磋商方式管理办法》等有关法律、规章和规定等。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本项所称货物不包括使用大型企业注册商标的货物）。参加响应的中小企业，应当提供《中小企业声明函》（“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688"/>
        <w:gridCol w:w="7234"/>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序号</w:t>
            </w:r>
          </w:p>
        </w:tc>
        <w:tc>
          <w:tcPr>
            <w:tcW w:w="688" w:type="dxa"/>
            <w:vAlign w:val="center"/>
          </w:tcPr>
          <w:p>
            <w:pPr>
              <w:widowControl/>
              <w:jc w:val="center"/>
              <w:rPr>
                <w:rFonts w:hAnsi="宋体" w:eastAsia="宋体"/>
                <w:b/>
                <w:sz w:val="21"/>
              </w:rPr>
            </w:pPr>
            <w:r>
              <w:rPr>
                <w:rFonts w:hint="eastAsia" w:hAnsi="宋体" w:eastAsia="宋体"/>
                <w:b/>
                <w:sz w:val="21"/>
              </w:rPr>
              <w:t>评审</w:t>
            </w:r>
          </w:p>
          <w:p>
            <w:pPr>
              <w:widowControl/>
              <w:jc w:val="center"/>
              <w:rPr>
                <w:rFonts w:hAnsi="宋体" w:eastAsia="宋体"/>
                <w:b/>
                <w:sz w:val="21"/>
              </w:rPr>
            </w:pPr>
            <w:r>
              <w:rPr>
                <w:rFonts w:hint="eastAsia" w:hAnsi="宋体" w:eastAsia="宋体"/>
                <w:b/>
                <w:sz w:val="21"/>
              </w:rPr>
              <w:t>因素</w:t>
            </w:r>
          </w:p>
        </w:tc>
        <w:tc>
          <w:tcPr>
            <w:tcW w:w="7234" w:type="dxa"/>
            <w:vAlign w:val="center"/>
          </w:tcPr>
          <w:p>
            <w:pPr>
              <w:widowControl/>
              <w:jc w:val="center"/>
              <w:rPr>
                <w:rFonts w:hAnsi="宋体" w:eastAsia="宋体"/>
                <w:b/>
                <w:sz w:val="21"/>
              </w:rPr>
            </w:pPr>
            <w:r>
              <w:rPr>
                <w:rFonts w:hint="eastAsia" w:hAnsi="宋体" w:eastAsia="宋体"/>
                <w:b/>
                <w:sz w:val="21"/>
              </w:rPr>
              <w:t>评审标准</w:t>
            </w:r>
          </w:p>
        </w:tc>
        <w:tc>
          <w:tcPr>
            <w:tcW w:w="898" w:type="dxa"/>
            <w:vAlign w:val="center"/>
          </w:tcPr>
          <w:p>
            <w:pPr>
              <w:widowControl/>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1</w:t>
            </w:r>
          </w:p>
        </w:tc>
        <w:tc>
          <w:tcPr>
            <w:tcW w:w="688" w:type="dxa"/>
            <w:vAlign w:val="center"/>
          </w:tcPr>
          <w:p>
            <w:pPr>
              <w:widowControl/>
              <w:jc w:val="center"/>
              <w:rPr>
                <w:rFonts w:hAnsi="宋体" w:eastAsia="宋体"/>
                <w:b/>
                <w:sz w:val="21"/>
              </w:rPr>
            </w:pPr>
            <w:r>
              <w:rPr>
                <w:rFonts w:hint="eastAsia" w:hAnsi="宋体" w:eastAsia="宋体"/>
                <w:b/>
                <w:sz w:val="21"/>
              </w:rPr>
              <w:t>价格</w:t>
            </w:r>
          </w:p>
        </w:tc>
        <w:tc>
          <w:tcPr>
            <w:tcW w:w="7234" w:type="dxa"/>
            <w:vAlign w:val="center"/>
          </w:tcPr>
          <w:p>
            <w:pPr>
              <w:ind w:firstLine="210" w:firstLineChars="100"/>
              <w:rPr>
                <w:rFonts w:hAnsi="宋体" w:eastAsia="宋体"/>
                <w:sz w:val="21"/>
              </w:rPr>
            </w:pPr>
            <w:r>
              <w:rPr>
                <w:rFonts w:hint="eastAsia" w:hAnsi="宋体" w:eastAsia="宋体"/>
                <w:sz w:val="21"/>
              </w:rPr>
              <w:t>价格分采用低价优先法计算，即满足磋商文件要求且响应价格最低的为评标基准价，其价格分为满分。</w:t>
            </w:r>
          </w:p>
          <w:p>
            <w:pPr>
              <w:ind w:firstLine="210" w:firstLineChars="100"/>
              <w:rPr>
                <w:rFonts w:hAnsi="宋体" w:eastAsia="宋体"/>
                <w:sz w:val="21"/>
              </w:rPr>
            </w:pPr>
            <w:r>
              <w:rPr>
                <w:rFonts w:hint="eastAsia" w:hAnsi="宋体" w:eastAsia="宋体"/>
                <w:sz w:val="21"/>
              </w:rPr>
              <w:t>其他供应商的价格分统一按照下列公式计算（小数点保留两位）：</w:t>
            </w:r>
          </w:p>
          <w:p>
            <w:pPr>
              <w:ind w:firstLine="210" w:firstLineChars="100"/>
              <w:rPr>
                <w:rFonts w:hAnsi="宋体" w:eastAsia="宋体"/>
                <w:sz w:val="21"/>
              </w:rPr>
            </w:pPr>
            <w:r>
              <w:rPr>
                <w:rFonts w:hint="eastAsia" w:hAnsi="宋体" w:eastAsia="宋体"/>
                <w:sz w:val="21"/>
              </w:rPr>
              <w:t>响应报价得分=(评标基准价／响应报价)×40</w:t>
            </w:r>
          </w:p>
        </w:tc>
        <w:tc>
          <w:tcPr>
            <w:tcW w:w="898" w:type="dxa"/>
            <w:vAlign w:val="center"/>
          </w:tcPr>
          <w:p>
            <w:pPr>
              <w:widowControl/>
              <w:jc w:val="center"/>
              <w:rPr>
                <w:rFonts w:hAnsi="宋体" w:eastAsia="宋体"/>
                <w:b/>
                <w:bCs/>
                <w:sz w:val="21"/>
              </w:rPr>
            </w:pPr>
            <w:r>
              <w:rPr>
                <w:rFonts w:hint="eastAsia" w:hAnsi="宋体" w:eastAsia="宋体"/>
                <w:b/>
                <w:bCs/>
                <w:sz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2" w:type="dxa"/>
            <w:vAlign w:val="center"/>
          </w:tcPr>
          <w:p>
            <w:pPr>
              <w:jc w:val="center"/>
              <w:rPr>
                <w:rFonts w:hAnsi="宋体" w:eastAsia="宋体"/>
                <w:b/>
                <w:sz w:val="21"/>
              </w:rPr>
            </w:pPr>
            <w:r>
              <w:rPr>
                <w:rFonts w:hint="eastAsia" w:hAnsi="宋体" w:eastAsia="宋体"/>
                <w:b/>
                <w:sz w:val="21"/>
              </w:rPr>
              <w:t>2.1</w:t>
            </w:r>
          </w:p>
        </w:tc>
        <w:tc>
          <w:tcPr>
            <w:tcW w:w="688" w:type="dxa"/>
            <w:vMerge w:val="restart"/>
            <w:vAlign w:val="center"/>
          </w:tcPr>
          <w:p>
            <w:pPr>
              <w:jc w:val="center"/>
              <w:rPr>
                <w:rFonts w:hAnsi="宋体" w:eastAsia="宋体"/>
                <w:b/>
                <w:sz w:val="21"/>
              </w:rPr>
            </w:pPr>
            <w:r>
              <w:rPr>
                <w:rFonts w:hint="eastAsia" w:hAnsi="宋体" w:eastAsia="宋体"/>
                <w:b/>
                <w:sz w:val="21"/>
              </w:rPr>
              <w:t>技术</w:t>
            </w:r>
          </w:p>
        </w:tc>
        <w:tc>
          <w:tcPr>
            <w:tcW w:w="7234" w:type="dxa"/>
            <w:vAlign w:val="center"/>
          </w:tcPr>
          <w:p>
            <w:pPr>
              <w:ind w:firstLine="210" w:firstLineChars="100"/>
              <w:rPr>
                <w:rFonts w:hAnsi="宋体" w:eastAsia="宋体"/>
                <w:b/>
                <w:sz w:val="21"/>
              </w:rPr>
            </w:pPr>
            <w:r>
              <w:rPr>
                <w:rFonts w:hint="eastAsia" w:hAnsi="宋体" w:eastAsia="宋体"/>
                <w:sz w:val="21"/>
              </w:rPr>
              <w:t>设备技术参数全部满足磋商要求的得满分30分：带▲号项为重要技术参数，不满足一项扣3分；其它技术参数不满足标书技术要求的，一项扣1分，扣完为止。</w:t>
            </w:r>
            <w:r>
              <w:rPr>
                <w:rFonts w:hint="eastAsia" w:hAnsi="宋体" w:eastAsia="宋体"/>
                <w:bCs/>
                <w:sz w:val="21"/>
              </w:rPr>
              <w:t>严重负偏离且影响产品性能的，经半数以上评委认定，本项不得分。</w:t>
            </w:r>
          </w:p>
        </w:tc>
        <w:tc>
          <w:tcPr>
            <w:tcW w:w="898" w:type="dxa"/>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792" w:type="dxa"/>
            <w:vAlign w:val="center"/>
          </w:tcPr>
          <w:p>
            <w:pPr>
              <w:jc w:val="center"/>
              <w:rPr>
                <w:rFonts w:eastAsia="宋体"/>
              </w:rPr>
            </w:pPr>
            <w:r>
              <w:rPr>
                <w:rFonts w:hint="eastAsia" w:hAnsi="宋体" w:eastAsia="宋体"/>
                <w:b/>
                <w:sz w:val="21"/>
              </w:rPr>
              <w:t>2.2</w:t>
            </w:r>
          </w:p>
        </w:tc>
        <w:tc>
          <w:tcPr>
            <w:tcW w:w="688" w:type="dxa"/>
            <w:vMerge w:val="continue"/>
            <w:vAlign w:val="center"/>
          </w:tcPr>
          <w:p>
            <w:pPr>
              <w:ind w:firstLine="280" w:firstLineChars="100"/>
            </w:pPr>
          </w:p>
        </w:tc>
        <w:tc>
          <w:tcPr>
            <w:tcW w:w="7234" w:type="dxa"/>
            <w:vAlign w:val="center"/>
          </w:tcPr>
          <w:p>
            <w:pPr>
              <w:ind w:firstLine="210" w:firstLineChars="100"/>
              <w:rPr>
                <w:rFonts w:hAnsi="宋体" w:eastAsia="宋体"/>
                <w:sz w:val="21"/>
              </w:rPr>
            </w:pPr>
            <w:r>
              <w:rPr>
                <w:rFonts w:hint="eastAsia" w:hAnsi="宋体" w:eastAsia="宋体"/>
                <w:sz w:val="21"/>
              </w:rPr>
              <w:t>评委根据供应商提供的设计技术方案进行综合评分：方案贴合实际，全面性、先进性、可扩展性、系统安全性强的得5分；方案较为贴合实际，全面性、先进性、可扩展性、系统安全性较强得3-4分；方案全面性、先进性、可扩展性、系统安全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jc w:val="center"/>
        </w:trPr>
        <w:tc>
          <w:tcPr>
            <w:tcW w:w="792" w:type="dxa"/>
            <w:vAlign w:val="center"/>
          </w:tcPr>
          <w:p>
            <w:pPr>
              <w:jc w:val="center"/>
              <w:rPr>
                <w:rFonts w:hAnsi="宋体" w:eastAsia="宋体"/>
                <w:sz w:val="21"/>
              </w:rPr>
            </w:pPr>
            <w:r>
              <w:rPr>
                <w:rFonts w:hint="eastAsia" w:hAnsi="宋体" w:eastAsia="宋体"/>
                <w:b/>
                <w:sz w:val="21"/>
              </w:rPr>
              <w:t>2.3</w:t>
            </w:r>
          </w:p>
        </w:tc>
        <w:tc>
          <w:tcPr>
            <w:tcW w:w="688" w:type="dxa"/>
            <w:vMerge w:val="continue"/>
            <w:vAlign w:val="center"/>
          </w:tcPr>
          <w:p>
            <w:pPr>
              <w:ind w:firstLine="210" w:firstLineChars="100"/>
              <w:rPr>
                <w:rFonts w:hAnsi="宋体" w:eastAsia="宋体"/>
                <w:sz w:val="21"/>
              </w:rPr>
            </w:pPr>
          </w:p>
        </w:tc>
        <w:tc>
          <w:tcPr>
            <w:tcW w:w="7234" w:type="dxa"/>
            <w:vAlign w:val="center"/>
          </w:tcPr>
          <w:p>
            <w:pPr>
              <w:snapToGrid w:val="0"/>
              <w:ind w:firstLine="210" w:firstLineChars="100"/>
              <w:rPr>
                <w:rFonts w:hAnsi="宋体" w:eastAsia="宋体"/>
                <w:sz w:val="21"/>
              </w:rPr>
            </w:pPr>
            <w:r>
              <w:rPr>
                <w:rFonts w:hint="eastAsia" w:hAnsi="宋体" w:eastAsia="宋体"/>
                <w:sz w:val="21"/>
              </w:rPr>
              <w:t>评委根据供应商项目实施总体方案进行综合评分（包含实施计划、交付时间管理，突发事件处置方案以及本项目实施过程中的管理保障、技术保障、制度保障等）：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3</w:t>
            </w:r>
          </w:p>
        </w:tc>
        <w:tc>
          <w:tcPr>
            <w:tcW w:w="688" w:type="dxa"/>
            <w:vAlign w:val="center"/>
          </w:tcPr>
          <w:p>
            <w:pPr>
              <w:jc w:val="center"/>
              <w:rPr>
                <w:rFonts w:hAnsi="宋体" w:eastAsia="宋体"/>
                <w:b/>
                <w:sz w:val="21"/>
              </w:rPr>
            </w:pPr>
            <w:r>
              <w:rPr>
                <w:rFonts w:hint="eastAsia" w:hAnsi="宋体" w:eastAsia="宋体"/>
                <w:b/>
                <w:sz w:val="21"/>
              </w:rPr>
              <w:t>服务</w:t>
            </w:r>
          </w:p>
        </w:tc>
        <w:tc>
          <w:tcPr>
            <w:tcW w:w="7234" w:type="dxa"/>
            <w:vAlign w:val="center"/>
          </w:tcPr>
          <w:p>
            <w:pPr>
              <w:ind w:firstLine="210" w:firstLineChars="100"/>
              <w:rPr>
                <w:rFonts w:hAnsi="宋体" w:eastAsia="宋体"/>
                <w:sz w:val="21"/>
              </w:rPr>
            </w:pPr>
            <w:r>
              <w:rPr>
                <w:rFonts w:hint="eastAsia" w:hAnsi="宋体" w:eastAsia="宋体"/>
                <w:sz w:val="21"/>
              </w:rPr>
              <w:t>评委根据供应商提供的项目维护计划方案（如服务体系、服务内容、故障解决方案、对用户故障的响应、处理、定期巡检等）进行综合评分：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autoSpaceDE w:val="0"/>
              <w:autoSpaceDN w:val="0"/>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4</w:t>
            </w:r>
          </w:p>
        </w:tc>
        <w:tc>
          <w:tcPr>
            <w:tcW w:w="688" w:type="dxa"/>
            <w:vAlign w:val="center"/>
          </w:tcPr>
          <w:p>
            <w:pPr>
              <w:jc w:val="center"/>
              <w:rPr>
                <w:rFonts w:hAnsi="宋体" w:eastAsia="宋体"/>
                <w:b/>
                <w:sz w:val="21"/>
              </w:rPr>
            </w:pPr>
            <w:r>
              <w:rPr>
                <w:rFonts w:hint="eastAsia" w:hAnsi="宋体" w:eastAsia="宋体"/>
                <w:b/>
                <w:sz w:val="21"/>
              </w:rPr>
              <w:t>业绩</w:t>
            </w:r>
          </w:p>
        </w:tc>
        <w:tc>
          <w:tcPr>
            <w:tcW w:w="7234" w:type="dxa"/>
            <w:vAlign w:val="center"/>
          </w:tcPr>
          <w:p>
            <w:pPr>
              <w:pStyle w:val="29"/>
              <w:snapToGrid w:val="0"/>
              <w:ind w:firstLine="210" w:firstLineChars="100"/>
              <w:rPr>
                <w:rFonts w:hAnsi="宋体" w:eastAsia="宋体"/>
                <w:sz w:val="21"/>
              </w:rPr>
            </w:pPr>
            <w:r>
              <w:rPr>
                <w:rFonts w:hint="eastAsia" w:hAnsi="宋体" w:eastAsia="宋体"/>
                <w:sz w:val="21"/>
              </w:rPr>
              <w:t>评委根据供应商提供的自2016年1月1日以来门禁系统等类似项目业绩进行评分，每提供一个得1分，最多得10分（须提供合同书复印件，且应含有清晰可见的标的物、合同价以及盖章签字部分所在页，并须并提供联系人及联系方式，否则不得分，合同原件备查。）</w:t>
            </w:r>
          </w:p>
        </w:tc>
        <w:tc>
          <w:tcPr>
            <w:tcW w:w="898" w:type="dxa"/>
            <w:vAlign w:val="center"/>
          </w:tcPr>
          <w:p>
            <w:pPr>
              <w:widowControl/>
              <w:snapToGrid w:val="0"/>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1" w:hRule="atLeast"/>
          <w:jc w:val="center"/>
        </w:trPr>
        <w:tc>
          <w:tcPr>
            <w:tcW w:w="792" w:type="dxa"/>
            <w:vAlign w:val="center"/>
          </w:tcPr>
          <w:p>
            <w:pPr>
              <w:widowControl/>
              <w:jc w:val="center"/>
              <w:rPr>
                <w:rFonts w:eastAsia="宋体"/>
              </w:rPr>
            </w:pPr>
            <w:r>
              <w:rPr>
                <w:rFonts w:hint="eastAsia" w:hAnsi="宋体" w:eastAsia="宋体"/>
                <w:b/>
                <w:sz w:val="21"/>
              </w:rPr>
              <w:t>5</w:t>
            </w:r>
          </w:p>
        </w:tc>
        <w:tc>
          <w:tcPr>
            <w:tcW w:w="688" w:type="dxa"/>
            <w:vAlign w:val="center"/>
          </w:tcPr>
          <w:p>
            <w:pPr>
              <w:jc w:val="center"/>
              <w:rPr>
                <w:rFonts w:eastAsiaTheme="minorEastAsia"/>
              </w:rPr>
            </w:pPr>
            <w:r>
              <w:rPr>
                <w:rFonts w:hint="eastAsia" w:hAnsi="宋体" w:eastAsia="宋体"/>
                <w:b/>
                <w:sz w:val="21"/>
              </w:rPr>
              <w:t>资质</w:t>
            </w:r>
          </w:p>
        </w:tc>
        <w:tc>
          <w:tcPr>
            <w:tcW w:w="7234" w:type="dxa"/>
            <w:vAlign w:val="center"/>
          </w:tcPr>
          <w:p>
            <w:pPr>
              <w:widowControl/>
              <w:ind w:firstLine="210" w:firstLineChars="100"/>
              <w:rPr>
                <w:rFonts w:hAnsi="宋体" w:eastAsia="宋体"/>
                <w:sz w:val="21"/>
              </w:rPr>
            </w:pPr>
            <w:r>
              <w:rPr>
                <w:rFonts w:hint="eastAsia" w:hAnsi="宋体" w:eastAsia="宋体"/>
                <w:sz w:val="21"/>
              </w:rPr>
              <w:t>供应商提供与本项目相关的专利或软件著作权证书（有效期内），每提供一个得1分，最多得5分，没有的本项不得分（提供证书复印件并加盖公章）。</w:t>
            </w:r>
          </w:p>
        </w:tc>
        <w:tc>
          <w:tcPr>
            <w:tcW w:w="898" w:type="dxa"/>
            <w:vAlign w:val="center"/>
          </w:tcPr>
          <w:p>
            <w:pPr>
              <w:widowControl/>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14" w:type="dxa"/>
            <w:gridSpan w:val="3"/>
            <w:vAlign w:val="center"/>
          </w:tcPr>
          <w:p>
            <w:pPr>
              <w:widowControl/>
              <w:jc w:val="center"/>
              <w:rPr>
                <w:rFonts w:hAnsi="宋体" w:eastAsia="宋体"/>
                <w:sz w:val="21"/>
              </w:rPr>
            </w:pPr>
            <w:r>
              <w:rPr>
                <w:rFonts w:hint="eastAsia" w:hAnsi="宋体" w:eastAsia="宋体"/>
                <w:b/>
                <w:bCs/>
                <w:sz w:val="21"/>
              </w:rPr>
              <w:t>合计</w:t>
            </w:r>
          </w:p>
        </w:tc>
        <w:tc>
          <w:tcPr>
            <w:tcW w:w="898" w:type="dxa"/>
            <w:vAlign w:val="center"/>
          </w:tcPr>
          <w:p>
            <w:pPr>
              <w:widowControl/>
              <w:jc w:val="center"/>
              <w:rPr>
                <w:rFonts w:hAnsi="宋体" w:eastAsia="宋体"/>
                <w:b/>
                <w:bCs/>
                <w:sz w:val="21"/>
              </w:rPr>
            </w:pPr>
            <w:r>
              <w:rPr>
                <w:rFonts w:hint="eastAsia" w:hAnsi="宋体" w:eastAsia="宋体"/>
                <w:b/>
                <w:bCs/>
                <w:sz w:val="21"/>
              </w:rPr>
              <w:t>100</w:t>
            </w:r>
          </w:p>
        </w:tc>
      </w:tr>
    </w:tbl>
    <w:p>
      <w:pPr>
        <w:keepNext/>
        <w:keepLines/>
        <w:tabs>
          <w:tab w:val="left" w:pos="2324"/>
        </w:tabs>
        <w:spacing w:beforeLines="50" w:afterLines="50" w:line="300" w:lineRule="auto"/>
        <w:ind w:firstLine="315" w:firstLineChars="150"/>
        <w:rPr>
          <w:rFonts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（1）所有认证、证明和业绩除上表要求外均需提供有效的证明材料复印件加盖公章，原件备查。</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7"/>
          <w:rFonts w:hint="eastAsia" w:cs="Arial" w:asciiTheme="minorEastAsia" w:hAnsiTheme="minorEastAsia" w:eastAsiaTheme="minorEastAsia"/>
          <w:i w:val="0"/>
          <w:iCs w:val="0"/>
          <w:sz w:val="21"/>
          <w:shd w:val="clear" w:color="auto" w:fill="FFFFFF"/>
        </w:rPr>
        <w:t>采购人</w:t>
      </w:r>
      <w:r>
        <w:rPr>
          <w:rStyle w:val="17"/>
          <w:rFonts w:cs="Arial" w:asciiTheme="minorEastAsia" w:hAnsiTheme="minorEastAsia" w:eastAsiaTheme="minorEastAsia"/>
          <w:i w:val="0"/>
          <w:iCs w:val="0"/>
          <w:sz w:val="21"/>
          <w:shd w:val="clear" w:color="auto" w:fill="FFFFFF"/>
        </w:rPr>
        <w:t>有权在</w:t>
      </w:r>
      <w:r>
        <w:rPr>
          <w:rStyle w:val="17"/>
          <w:rFonts w:hint="eastAsia" w:cs="Arial" w:asciiTheme="minorEastAsia" w:hAnsiTheme="minorEastAsia" w:eastAsiaTheme="minorEastAsia"/>
          <w:i w:val="0"/>
          <w:iCs w:val="0"/>
          <w:sz w:val="21"/>
          <w:shd w:val="clear" w:color="auto" w:fill="FFFFFF"/>
        </w:rPr>
        <w:t>磋商</w:t>
      </w:r>
      <w:r>
        <w:rPr>
          <w:rStyle w:val="17"/>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响应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响应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bookmarkEnd w:id="78"/>
    <w:p>
      <w:pPr>
        <w:pStyle w:val="3"/>
        <w:jc w:val="center"/>
        <w:rPr>
          <w:rFonts w:ascii="仿宋_GB2312" w:eastAsia="仿宋_GB2312"/>
          <w:sz w:val="28"/>
          <w:szCs w:val="28"/>
        </w:rPr>
      </w:pPr>
      <w:bookmarkStart w:id="80" w:name="_Toc304906082"/>
      <w:bookmarkStart w:id="81" w:name="_Toc19717"/>
      <w:bookmarkStart w:id="82" w:name="_Toc304906083"/>
      <w:r>
        <w:rPr>
          <w:rFonts w:hint="eastAsia" w:ascii="黑体" w:hAnsi="宋体" w:eastAsia="黑体"/>
          <w:b w:val="0"/>
          <w:bCs w:val="0"/>
          <w:kern w:val="2"/>
          <w:sz w:val="36"/>
          <w:szCs w:val="36"/>
          <w:lang w:val="zh-CN"/>
        </w:rPr>
        <w:t>第四章  政府采购合同专用条款部分</w:t>
      </w:r>
      <w:bookmarkEnd w:id="80"/>
      <w:bookmarkEnd w:id="81"/>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甲方: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乙方: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甲乙双方根据201*年*月**日学院采购编号**********的****（采购人名称及其项目名称）项目****（采购方式）采购结果及采购文件的要求,经协商一致,达成如下货物购销合同:</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一、货物及其数量、金额等</w:t>
      </w:r>
    </w:p>
    <w:tbl>
      <w:tblPr>
        <w:tblStyle w:val="14"/>
        <w:tblW w:w="94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分包</w:t>
            </w:r>
          </w:p>
        </w:tc>
        <w:tc>
          <w:tcPr>
            <w:tcW w:w="1125" w:type="dxa"/>
            <w:gridSpan w:val="2"/>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采购货物名称</w:t>
            </w:r>
          </w:p>
        </w:tc>
        <w:tc>
          <w:tcPr>
            <w:tcW w:w="162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规格型号</w:t>
            </w:r>
          </w:p>
        </w:tc>
        <w:tc>
          <w:tcPr>
            <w:tcW w:w="108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数量</w:t>
            </w:r>
          </w:p>
        </w:tc>
        <w:tc>
          <w:tcPr>
            <w:tcW w:w="90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单价</w:t>
            </w:r>
          </w:p>
        </w:tc>
        <w:tc>
          <w:tcPr>
            <w:tcW w:w="14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总价</w:t>
            </w:r>
          </w:p>
        </w:tc>
        <w:tc>
          <w:tcPr>
            <w:tcW w:w="126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免  费</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质保期</w:t>
            </w:r>
          </w:p>
        </w:tc>
        <w:tc>
          <w:tcPr>
            <w:tcW w:w="14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0" w:type="dxa"/>
            <w:vAlign w:val="center"/>
          </w:tcPr>
          <w:p>
            <w:pPr>
              <w:ind w:firstLine="411" w:firstLineChars="196"/>
              <w:rPr>
                <w:rFonts w:cs="宋体" w:asciiTheme="minorEastAsia" w:hAnsiTheme="minorEastAsia" w:eastAsiaTheme="minorEastAsia"/>
                <w:sz w:val="21"/>
              </w:rPr>
            </w:pPr>
          </w:p>
        </w:tc>
        <w:tc>
          <w:tcPr>
            <w:tcW w:w="1125" w:type="dxa"/>
            <w:gridSpan w:val="2"/>
            <w:vAlign w:val="center"/>
          </w:tcPr>
          <w:p>
            <w:pPr>
              <w:ind w:firstLine="411" w:firstLineChars="196"/>
              <w:rPr>
                <w:rFonts w:cs="宋体" w:asciiTheme="minorEastAsia" w:hAnsiTheme="minorEastAsia" w:eastAsiaTheme="minorEastAsia"/>
                <w:sz w:val="21"/>
              </w:rPr>
            </w:pPr>
          </w:p>
        </w:tc>
        <w:tc>
          <w:tcPr>
            <w:tcW w:w="1620" w:type="dxa"/>
            <w:vAlign w:val="center"/>
          </w:tcPr>
          <w:p>
            <w:pPr>
              <w:ind w:firstLine="411" w:firstLineChars="196"/>
              <w:rPr>
                <w:rFonts w:cs="宋体" w:asciiTheme="minorEastAsia" w:hAnsiTheme="minorEastAsia" w:eastAsiaTheme="minorEastAsia"/>
                <w:sz w:val="21"/>
              </w:rPr>
            </w:pPr>
          </w:p>
        </w:tc>
        <w:tc>
          <w:tcPr>
            <w:tcW w:w="1080" w:type="dxa"/>
            <w:vAlign w:val="center"/>
          </w:tcPr>
          <w:p>
            <w:pPr>
              <w:ind w:firstLine="411" w:firstLineChars="196"/>
              <w:rPr>
                <w:rFonts w:cs="宋体" w:asciiTheme="minorEastAsia" w:hAnsiTheme="minorEastAsia" w:eastAsiaTheme="minorEastAsia"/>
                <w:sz w:val="21"/>
              </w:rPr>
            </w:pPr>
          </w:p>
        </w:tc>
        <w:tc>
          <w:tcPr>
            <w:tcW w:w="900" w:type="dxa"/>
            <w:vAlign w:val="center"/>
          </w:tcPr>
          <w:p>
            <w:pPr>
              <w:ind w:firstLine="411" w:firstLineChars="196"/>
              <w:rPr>
                <w:rFonts w:cs="宋体" w:asciiTheme="minorEastAsia" w:hAnsiTheme="minorEastAsia" w:eastAsiaTheme="minorEastAsia"/>
                <w:sz w:val="21"/>
              </w:rPr>
            </w:pPr>
          </w:p>
        </w:tc>
        <w:tc>
          <w:tcPr>
            <w:tcW w:w="1440" w:type="dxa"/>
            <w:vAlign w:val="center"/>
          </w:tcPr>
          <w:p>
            <w:pPr>
              <w:ind w:firstLine="411" w:firstLineChars="196"/>
              <w:rPr>
                <w:rFonts w:cs="宋体" w:asciiTheme="minorEastAsia" w:hAnsiTheme="minorEastAsia" w:eastAsiaTheme="minorEastAsia"/>
                <w:sz w:val="21"/>
              </w:rPr>
            </w:pPr>
          </w:p>
        </w:tc>
        <w:tc>
          <w:tcPr>
            <w:tcW w:w="1260" w:type="dxa"/>
            <w:vAlign w:val="center"/>
          </w:tcPr>
          <w:p>
            <w:pPr>
              <w:ind w:firstLine="411" w:firstLineChars="196"/>
              <w:rPr>
                <w:rFonts w:cs="宋体" w:asciiTheme="minorEastAsia" w:hAnsiTheme="minorEastAsia" w:eastAsiaTheme="minorEastAsia"/>
                <w:sz w:val="21"/>
              </w:rPr>
            </w:pPr>
          </w:p>
        </w:tc>
        <w:tc>
          <w:tcPr>
            <w:tcW w:w="1440" w:type="dxa"/>
            <w:vAlign w:val="center"/>
          </w:tcPr>
          <w:p>
            <w:pPr>
              <w:ind w:firstLine="411" w:firstLineChars="196"/>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495" w:type="dxa"/>
            <w:gridSpan w:val="9"/>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合同总金额：人民币（大写）                              元整。</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                               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15" w:type="dxa"/>
            <w:gridSpan w:val="2"/>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甲方</w:t>
            </w:r>
          </w:p>
        </w:tc>
        <w:tc>
          <w:tcPr>
            <w:tcW w:w="8280" w:type="dxa"/>
            <w:gridSpan w:val="7"/>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联系人：</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15" w:type="dxa"/>
            <w:gridSpan w:val="2"/>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乙方</w:t>
            </w:r>
          </w:p>
        </w:tc>
        <w:tc>
          <w:tcPr>
            <w:tcW w:w="8280" w:type="dxa"/>
            <w:gridSpan w:val="7"/>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联系人：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固定电话：     移动电话：</w:t>
            </w:r>
          </w:p>
        </w:tc>
      </w:tr>
    </w:tbl>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1、本合同价款采用 固定总价 方式确定。合同价款中包括的风险范围：</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⑴、各类市场价格风险及各类政策性风险；</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⑵、环境保护费、检验试验费、临时设施费、机械设备进出场及安拆等措施项目费等；</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⑶、作为有丰富经验的承包商应该可以预见到的风险；</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2、风险费用的计算方法：</w:t>
      </w:r>
    </w:p>
    <w:p>
      <w:pPr>
        <w:ind w:firstLine="548" w:firstLineChars="196"/>
        <w:rPr>
          <w:rFonts w:cs="宋体" w:asciiTheme="minorEastAsia" w:hAnsiTheme="minorEastAsia" w:eastAsiaTheme="minorEastAsia"/>
          <w:sz w:val="21"/>
        </w:rPr>
      </w:pPr>
      <w:r>
        <w:fldChar w:fldCharType="begin"/>
      </w:r>
      <w:r>
        <w:instrText xml:space="preserve"> AUTOTEXT  " 空白"  \* MERGEFORMAT </w:instrText>
      </w:r>
      <w:r>
        <w:fldChar w:fldCharType="separate"/>
      </w:r>
      <w:r>
        <w:rPr>
          <w:rFonts w:hint="eastAsia" w:cs="宋体" w:asciiTheme="minorEastAsia" w:hAnsiTheme="minorEastAsia" w:eastAsiaTheme="minorEastAsia"/>
          <w:sz w:val="21"/>
        </w:rPr>
        <w:t>承包人确定响应报价时已经充分考虑上述全部的风险范围并将承担该风险所需费用一并计入响应报价，不再单独结算。</w:t>
      </w:r>
      <w:r>
        <w:rPr>
          <w:rFonts w:hint="eastAsia" w:cs="宋体" w:asciiTheme="minorEastAsia" w:hAnsiTheme="minorEastAsia" w:eastAsiaTheme="minorEastAsia"/>
          <w:sz w:val="21"/>
        </w:rPr>
        <w:fldChar w:fldCharType="end"/>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二、交货地点：采购人指定地点</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三、验收：甲方按招标文件相关要求进行。如需委托第三方验收，第三方是指：                              ，验收费用由甲方承担。</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四、付款：由甲方按下列程序付款。</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1、预付款：签订合同后，支付合同总价的0%。</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2、设备安装调试结束，提交全部本批次产品的检测报告材料，并通过正式验收，支付至合同金额的</w:t>
      </w:r>
      <w:r>
        <w:rPr>
          <w:rFonts w:hint="eastAsia" w:cs="宋体" w:asciiTheme="minorEastAsia" w:hAnsiTheme="minorEastAsia" w:eastAsiaTheme="minorEastAsia"/>
          <w:sz w:val="21"/>
          <w:lang w:val="en-US" w:eastAsia="zh-CN"/>
        </w:rPr>
        <w:t>95</w:t>
      </w:r>
      <w:r>
        <w:rPr>
          <w:rFonts w:hint="eastAsia" w:cs="宋体" w:asciiTheme="minorEastAsia" w:hAnsiTheme="minorEastAsia" w:eastAsiaTheme="minorEastAsia"/>
          <w:sz w:val="21"/>
        </w:rPr>
        <w:t>%。</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3、剩余合同价款的5%，作为履约保证金，在交付使用 1  个月后，经甲方确认在此期间使用正常，将无息退还给乙方。</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五、合同纠纷处理：本合同执行过程中发生纠纷，作如下   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1、由甲乙双方协商处理。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2、申请仲裁。仲裁机构为南京市仲裁委员会。</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3、提起诉讼。诉讼地点为采购人所在地。</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六、合同生效：本合同由甲乙双方签字盖章后生效。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七、组成本合同的文件包括：</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（一）合同通用条款和专用条款；</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（二）采购文件和乙方的响应文件；</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（三）中标通知书；</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（四）甲乙双方商定的其他必要文件。</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上述合同文件内容互为补充，如有不明确，由甲方负责解释。</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八、合同份数</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本合同一式四份，中文书写。甲执三份，乙方执一份。</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甲方：                               （盖章）</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地址：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法定（授权）代表人：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二0一九年   月    日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乙方：                         （盖章）</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地址：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法定（授权）代表人：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二0一九年   月    日</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户名：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开户银行：                                   </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账号：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w:t>
      </w:r>
    </w:p>
    <w:p>
      <w:pPr>
        <w:pStyle w:val="3"/>
        <w:keepNext w:val="0"/>
        <w:keepLines w:val="0"/>
        <w:jc w:val="center"/>
        <w:rPr>
          <w:rFonts w:asciiTheme="minorEastAsia" w:hAnsiTheme="minorEastAsia" w:eastAsiaTheme="minorEastAsia" w:cstheme="majorEastAsia"/>
          <w:sz w:val="24"/>
          <w:szCs w:val="24"/>
        </w:rPr>
      </w:pPr>
      <w:bookmarkStart w:id="83" w:name="_Toc16941"/>
    </w:p>
    <w:p>
      <w:pPr>
        <w:pStyle w:val="3"/>
        <w:keepNext w:val="0"/>
        <w:keepLines w:val="0"/>
        <w:jc w:val="center"/>
        <w:rPr>
          <w:rFonts w:asciiTheme="minorEastAsia" w:hAnsiTheme="minorEastAsia" w:eastAsiaTheme="minorEastAsia" w:cstheme="majorEastAsia"/>
          <w:sz w:val="24"/>
          <w:szCs w:val="24"/>
        </w:rPr>
      </w:pPr>
      <w:r>
        <w:rPr>
          <w:rFonts w:hint="eastAsia" w:asciiTheme="minorEastAsia" w:hAnsiTheme="minorEastAsia" w:eastAsiaTheme="minorEastAsia" w:cstheme="majorEastAsia"/>
          <w:sz w:val="24"/>
          <w:szCs w:val="24"/>
        </w:rPr>
        <w:t xml:space="preserve">第五章  </w:t>
      </w:r>
      <w:bookmarkEnd w:id="82"/>
      <w:r>
        <w:rPr>
          <w:rFonts w:hint="eastAsia" w:asciiTheme="minorEastAsia" w:hAnsiTheme="minorEastAsia" w:eastAsiaTheme="minorEastAsia" w:cstheme="majorEastAsia"/>
          <w:sz w:val="24"/>
          <w:szCs w:val="24"/>
        </w:rPr>
        <w:t>采购项目的技术规格、要求和数量等</w:t>
      </w:r>
      <w:bookmarkEnd w:id="83"/>
    </w:p>
    <w:bookmarkEnd w:id="20"/>
    <w:bookmarkEnd w:id="21"/>
    <w:bookmarkEnd w:id="22"/>
    <w:bookmarkEnd w:id="23"/>
    <w:bookmarkEnd w:id="24"/>
    <w:bookmarkEnd w:id="64"/>
    <w:p>
      <w:pPr>
        <w:ind w:firstLine="411" w:firstLineChars="196"/>
        <w:rPr>
          <w:rFonts w:cs="宋体" w:asciiTheme="minorEastAsia" w:hAnsiTheme="minorEastAsia" w:eastAsiaTheme="minorEastAsia"/>
          <w:sz w:val="21"/>
        </w:rPr>
      </w:pPr>
      <w:bookmarkStart w:id="84" w:name="_Toc403987220"/>
      <w:r>
        <w:rPr>
          <w:rFonts w:hint="eastAsia" w:cs="宋体" w:asciiTheme="minorEastAsia" w:hAnsiTheme="minorEastAsia" w:eastAsiaTheme="minorEastAsia"/>
          <w:sz w:val="21"/>
        </w:rPr>
        <w:t>一、项目名称:南京交通职业技术学院图书馆门禁采购项目</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lang w:val="hr-HR"/>
        </w:rPr>
        <w:t>二、项目概况</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南京交通职业技术学院图书馆门禁。具体采购内容如下：</w:t>
      </w:r>
    </w:p>
    <w:tbl>
      <w:tblPr>
        <w:tblStyle w:val="14"/>
        <w:tblW w:w="9098" w:type="dxa"/>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200"/>
        <w:gridCol w:w="1097"/>
        <w:gridCol w:w="1354"/>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8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序号</w:t>
            </w:r>
          </w:p>
        </w:tc>
        <w:tc>
          <w:tcPr>
            <w:tcW w:w="420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设备名称</w:t>
            </w:r>
          </w:p>
        </w:tc>
        <w:tc>
          <w:tcPr>
            <w:tcW w:w="1097"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数量</w:t>
            </w:r>
          </w:p>
        </w:tc>
        <w:tc>
          <w:tcPr>
            <w:tcW w:w="1354"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单位</w:t>
            </w:r>
          </w:p>
        </w:tc>
        <w:tc>
          <w:tcPr>
            <w:tcW w:w="1607"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84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w:t>
            </w:r>
          </w:p>
        </w:tc>
        <w:tc>
          <w:tcPr>
            <w:tcW w:w="4200"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双通道门禁</w:t>
            </w:r>
          </w:p>
        </w:tc>
        <w:tc>
          <w:tcPr>
            <w:tcW w:w="1097"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w:t>
            </w:r>
          </w:p>
        </w:tc>
        <w:tc>
          <w:tcPr>
            <w:tcW w:w="1354" w:type="dxa"/>
            <w:vAlign w:val="center"/>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套</w:t>
            </w:r>
          </w:p>
        </w:tc>
        <w:tc>
          <w:tcPr>
            <w:tcW w:w="1607" w:type="dxa"/>
            <w:vAlign w:val="center"/>
          </w:tcPr>
          <w:p>
            <w:pPr>
              <w:ind w:firstLine="411" w:firstLineChars="196"/>
              <w:rPr>
                <w:rFonts w:cs="宋体" w:asciiTheme="minorEastAsia" w:hAnsiTheme="minorEastAsia" w:eastAsiaTheme="minorEastAsia"/>
                <w:sz w:val="21"/>
              </w:rPr>
            </w:pPr>
          </w:p>
        </w:tc>
      </w:tr>
    </w:tbl>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三、技术参数要求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基本要求：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安全性：系统中的所有设备符合国家有关的安全标准，可在潮湿高温等恶劣环境下使用，充分保证使用者的人身安全。</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易用耐用：系统设计简单，符合学校使用实际，设备结实耐用、易用，系统操作性简单，管理人员只需经过简单培训即可操作使用。</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稳定可靠性：系统为7*24小时不间断工作，系统的稳定性、可靠性是本项目考量重点。系统采用国内成熟的技术与产品，产品需有较多的成熟案例。</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易维护性：系统在出现故障时，可通过遥控或机械方式确保通行优先；另外，可通过简单的工具进行日常维护。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先进性：系统所采用的技术和设备在国内外具有领先地位且具有一定的前瞻性，软硬件接口开放，支持后期人脸、手机二维码识别等外设接入。</w:t>
      </w:r>
    </w:p>
    <w:tbl>
      <w:tblPr>
        <w:tblStyle w:val="14"/>
        <w:tblW w:w="95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275"/>
        <w:gridCol w:w="7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序号</w:t>
            </w:r>
          </w:p>
        </w:tc>
        <w:tc>
          <w:tcPr>
            <w:tcW w:w="127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设备名称</w:t>
            </w:r>
          </w:p>
        </w:tc>
        <w:tc>
          <w:tcPr>
            <w:tcW w:w="7434" w:type="dxa"/>
          </w:tcPr>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技术参数指标（功能配置）要求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（一）</w:t>
            </w:r>
          </w:p>
        </w:tc>
        <w:tc>
          <w:tcPr>
            <w:tcW w:w="1275" w:type="dxa"/>
            <w:vAlign w:val="center"/>
          </w:tcPr>
          <w:p>
            <w:pPr>
              <w:rPr>
                <w:rFonts w:cs="宋体" w:asciiTheme="minorEastAsia" w:hAnsiTheme="minorEastAsia" w:eastAsiaTheme="minorEastAsia"/>
                <w:sz w:val="21"/>
              </w:rPr>
            </w:pPr>
            <w:r>
              <w:rPr>
                <w:rFonts w:hint="eastAsia" w:cs="宋体" w:asciiTheme="minorEastAsia" w:hAnsiTheme="minorEastAsia" w:eastAsiaTheme="minorEastAsia"/>
                <w:sz w:val="21"/>
              </w:rPr>
              <w:t>双通道门禁</w:t>
            </w:r>
          </w:p>
        </w:tc>
        <w:tc>
          <w:tcPr>
            <w:tcW w:w="7434" w:type="dxa"/>
          </w:tcPr>
          <w:p>
            <w:pPr>
              <w:rPr>
                <w:rFonts w:cs="宋体" w:asciiTheme="minorEastAsia" w:hAnsiTheme="minorEastAsia" w:eastAsiaTheme="minorEastAsia"/>
                <w:sz w:val="21"/>
              </w:rPr>
            </w:pPr>
            <w:r>
              <w:rPr>
                <w:rFonts w:hint="eastAsia" w:cs="宋体" w:asciiTheme="minorEastAsia" w:hAnsiTheme="minorEastAsia" w:eastAsiaTheme="minorEastAsia"/>
                <w:sz w:val="21"/>
              </w:rPr>
              <w:t>1、技术参数要求（不低于如下要求）：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1）身份认证：门禁系统必须与学校师生身份识别系统（如校园一卡通系统，人脸识别系统）实现无缝对接，入馆人员验证有效身份后，闸机显示屏提示允许入馆并打开扇门放行，同时将入馆记录存放于门禁系统数据库中；无卡或查验无效者禁止入馆。</w:t>
            </w:r>
          </w:p>
          <w:p>
            <w:pPr>
              <w:rPr>
                <w:rFonts w:cs="宋体" w:asciiTheme="minorEastAsia" w:hAnsiTheme="minorEastAsia" w:eastAsiaTheme="minorEastAsia"/>
                <w:sz w:val="21"/>
              </w:rPr>
            </w:pPr>
            <w:r>
              <w:rPr>
                <w:rFonts w:hint="eastAsia" w:cs="宋体" w:asciiTheme="minorEastAsia" w:hAnsiTheme="minorEastAsia" w:eastAsiaTheme="minorEastAsia"/>
                <w:sz w:val="21"/>
              </w:rPr>
              <w:t>（2）扇门板应采用亚克力材料制作，不采用易老化、开裂的橡胶材质；闸机为双向对称机型。</w:t>
            </w:r>
          </w:p>
          <w:p>
            <w:pPr>
              <w:rPr>
                <w:rFonts w:cs="宋体" w:asciiTheme="minorEastAsia" w:hAnsiTheme="minorEastAsia" w:eastAsiaTheme="minorEastAsia"/>
                <w:sz w:val="21"/>
              </w:rPr>
            </w:pPr>
            <w:r>
              <w:rPr>
                <w:rFonts w:hint="eastAsia" w:cs="宋体" w:asciiTheme="minorEastAsia" w:hAnsiTheme="minorEastAsia" w:eastAsiaTheme="minorEastAsia"/>
                <w:sz w:val="21"/>
              </w:rPr>
              <w:t>（3）闸机通信协议采用TCP/IP，每台闸机直接和服务器进行刷卡数据通讯。</w:t>
            </w:r>
          </w:p>
          <w:p>
            <w:pPr>
              <w:rPr>
                <w:rFonts w:cs="宋体" w:asciiTheme="minorEastAsia" w:hAnsiTheme="minorEastAsia" w:eastAsiaTheme="minorEastAsia"/>
                <w:sz w:val="21"/>
              </w:rPr>
            </w:pPr>
            <w:r>
              <w:rPr>
                <w:rFonts w:hint="eastAsia" w:cs="宋体" w:asciiTheme="minorEastAsia" w:hAnsiTheme="minorEastAsia" w:eastAsiaTheme="minorEastAsia"/>
                <w:sz w:val="21"/>
              </w:rPr>
              <w:t>（4）需提供API接口。</w:t>
            </w:r>
          </w:p>
          <w:p>
            <w:pPr>
              <w:rPr>
                <w:rFonts w:cs="宋体" w:asciiTheme="minorEastAsia" w:hAnsiTheme="minorEastAsia" w:eastAsiaTheme="minorEastAsia"/>
                <w:sz w:val="21"/>
              </w:rPr>
            </w:pPr>
            <w:r>
              <w:rPr>
                <w:rFonts w:hint="eastAsia" w:cs="宋体" w:asciiTheme="minorEastAsia" w:hAnsiTheme="minorEastAsia" w:eastAsiaTheme="minorEastAsia"/>
                <w:sz w:val="21"/>
              </w:rPr>
              <w:t>（5）门禁系统应具有防夹功能。闸机断电时扇门可自动打开，遇突发特殊情况而未断电时，闸机扇门可强行推开变为无障碍通道，符合国家安防及消防要求。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6）闸机参数设置：主要包括验卡后有效通过时间、同一张卡重复验卡时间、扇门关闭时间等。可调节常开或常闭，以满足不同场地的要求。具有自动复位功能，开闸后，在规定的时间内未通行时，扇门自动关闭。</w:t>
            </w:r>
          </w:p>
          <w:p>
            <w:pPr>
              <w:rPr>
                <w:rFonts w:cs="宋体" w:asciiTheme="minorEastAsia" w:hAnsiTheme="minorEastAsia" w:eastAsiaTheme="minorEastAsia"/>
                <w:sz w:val="21"/>
              </w:rPr>
            </w:pPr>
            <w:r>
              <w:rPr>
                <w:rFonts w:hint="eastAsia" w:cs="宋体" w:asciiTheme="minorEastAsia" w:hAnsiTheme="minorEastAsia" w:eastAsiaTheme="minorEastAsia"/>
                <w:sz w:val="21"/>
              </w:rPr>
              <w:t>（7）▲闸机监控软件：监控软件为WEB网络版，所有通行数据应与学校校园平台对接，且在平台上能反映通行情况。监控软件可安装工作电脑上（可在windows7及以上的操作系统上使用）</w:t>
            </w:r>
            <w:r>
              <w:rPr>
                <w:rFonts w:hint="eastAsia" w:cs="宋体" w:asciiTheme="minorEastAsia" w:hAnsiTheme="minorEastAsia" w:eastAsiaTheme="minorEastAsia"/>
                <w:sz w:val="21"/>
              </w:rPr>
              <w:t>，读者在闸机上刷卡，监控软件可以分通道显示读者刷卡信息及读者照片。当读者未带卡时，可通过监控软件输入读者学号，监控软件显示读者信息及照片，经确认后，再给读者放行。人工验证数据将与正常刷卡数据一并写入门禁系统统计表中。管理员可以在后台添加重点关注人员，当该人员刷卡时，监控软件优先跳出提示警示工作人员（提供软件截图证明）。</w:t>
            </w:r>
          </w:p>
          <w:p>
            <w:pPr>
              <w:rPr>
                <w:rFonts w:cs="宋体" w:asciiTheme="minorEastAsia" w:hAnsiTheme="minorEastAsia" w:eastAsiaTheme="minorEastAsia"/>
                <w:sz w:val="21"/>
              </w:rPr>
            </w:pPr>
            <w:r>
              <w:rPr>
                <w:rFonts w:hint="eastAsia" w:cs="宋体" w:asciiTheme="minorEastAsia" w:hAnsiTheme="minorEastAsia" w:eastAsiaTheme="minorEastAsia"/>
                <w:sz w:val="21"/>
              </w:rPr>
              <w:t>（8）LED大屏显示软件：可在大屏指定位置显示图书馆进馆人次，具体可包括历史进馆人次，今年进馆人数，当月进馆人次，本周进馆人次，今日进馆人次。所有数据自动刷新，刷新间隔小于10秒。</w:t>
            </w:r>
          </w:p>
          <w:p>
            <w:pPr>
              <w:rPr>
                <w:rFonts w:cs="宋体" w:asciiTheme="minorEastAsia" w:hAnsiTheme="minorEastAsia" w:eastAsiaTheme="minorEastAsia"/>
                <w:sz w:val="21"/>
              </w:rPr>
            </w:pPr>
            <w:r>
              <w:rPr>
                <w:rFonts w:hint="eastAsia" w:cs="宋体" w:asciiTheme="minorEastAsia" w:hAnsiTheme="minorEastAsia" w:eastAsiaTheme="minorEastAsia"/>
                <w:sz w:val="21"/>
              </w:rPr>
              <w:t>（9）▲门禁系统信息墙显示软件：软件架构B/S，可以嵌入图书馆的硬件设备（智能电视），在设备的信息发布系统里进行显示；软件页面分辨率≥1920*1080。显示信息要求如下：（提供软件截图证明）</w:t>
            </w:r>
          </w:p>
          <w:p>
            <w:pPr>
              <w:rPr>
                <w:rFonts w:cs="宋体" w:asciiTheme="minorEastAsia" w:hAnsiTheme="minorEastAsia" w:eastAsiaTheme="minorEastAsia"/>
                <w:sz w:val="21"/>
              </w:rPr>
            </w:pPr>
            <w:r>
              <w:rPr>
                <w:rFonts w:hint="eastAsia" w:cs="宋体" w:asciiTheme="minorEastAsia" w:hAnsiTheme="minorEastAsia" w:eastAsiaTheme="minorEastAsia"/>
                <w:sz w:val="21"/>
              </w:rPr>
              <w:t>1）可显示图书馆历史进馆人次，当年进馆人次，当月进馆人次，自动刷新间隔小于5秒。</w:t>
            </w:r>
          </w:p>
          <w:p>
            <w:pPr>
              <w:rPr>
                <w:rFonts w:cs="宋体" w:asciiTheme="minorEastAsia" w:hAnsiTheme="minorEastAsia" w:eastAsiaTheme="minorEastAsia"/>
                <w:sz w:val="21"/>
              </w:rPr>
            </w:pPr>
            <w:r>
              <w:rPr>
                <w:rFonts w:hint="eastAsia" w:cs="宋体" w:asciiTheme="minorEastAsia" w:hAnsiTheme="minorEastAsia" w:eastAsiaTheme="minorEastAsia"/>
                <w:sz w:val="21"/>
              </w:rPr>
              <w:t>2）读者刷卡进入图书馆实时显示，读者信息，包括今日第几位进馆，读者姓名，读者学号，涉及读者姓名及学号的个人信息，显示需要做隐私处理。</w:t>
            </w:r>
          </w:p>
          <w:p>
            <w:pPr>
              <w:rPr>
                <w:rFonts w:cs="宋体" w:asciiTheme="minorEastAsia" w:hAnsiTheme="minorEastAsia" w:eastAsiaTheme="minorEastAsia"/>
                <w:sz w:val="21"/>
              </w:rPr>
            </w:pPr>
            <w:r>
              <w:rPr>
                <w:rFonts w:hint="eastAsia" w:cs="宋体" w:asciiTheme="minorEastAsia" w:hAnsiTheme="minorEastAsia" w:eastAsiaTheme="minorEastAsia"/>
                <w:sz w:val="21"/>
              </w:rPr>
              <w:t>3）柱状图显示当年每月的图书馆进馆人次。</w:t>
            </w:r>
          </w:p>
          <w:p>
            <w:pPr>
              <w:rPr>
                <w:rFonts w:cs="宋体" w:asciiTheme="minorEastAsia" w:hAnsiTheme="minorEastAsia" w:eastAsiaTheme="minorEastAsia"/>
                <w:sz w:val="21"/>
              </w:rPr>
            </w:pPr>
            <w:r>
              <w:rPr>
                <w:rFonts w:hint="eastAsia" w:cs="宋体" w:asciiTheme="minorEastAsia" w:hAnsiTheme="minorEastAsia" w:eastAsiaTheme="minorEastAsia"/>
                <w:sz w:val="21"/>
              </w:rPr>
              <w:t>4）柱状图显示当年各学院入馆人次前10排行。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5）柱状图显示当月各学院入馆人次前10排行。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6）柱状图显示当年各个人读者入馆人次前10排行。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7）柱状图显示当月各个人读者入馆人次前10排行。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8）表格显示当年各学院入馆具体人次。</w:t>
            </w:r>
          </w:p>
          <w:p>
            <w:pPr>
              <w:rPr>
                <w:rFonts w:cs="宋体" w:asciiTheme="minorEastAsia" w:hAnsiTheme="minorEastAsia" w:eastAsiaTheme="minorEastAsia"/>
                <w:sz w:val="21"/>
              </w:rPr>
            </w:pPr>
            <w:r>
              <w:rPr>
                <w:rFonts w:hint="eastAsia" w:cs="宋体" w:asciiTheme="minorEastAsia" w:hAnsiTheme="minorEastAsia" w:eastAsiaTheme="minorEastAsia"/>
                <w:sz w:val="21"/>
              </w:rPr>
              <w:t>9）显示内容自动切换显示，切换时间可以在后台自由设定。</w:t>
            </w:r>
          </w:p>
          <w:p>
            <w:pPr>
              <w:rPr>
                <w:rFonts w:cs="宋体" w:asciiTheme="minorEastAsia" w:hAnsiTheme="minorEastAsia" w:eastAsiaTheme="minorEastAsia"/>
                <w:sz w:val="21"/>
              </w:rPr>
            </w:pPr>
            <w:r>
              <w:rPr>
                <w:rFonts w:hint="eastAsia" w:cs="宋体" w:asciiTheme="minorEastAsia" w:hAnsiTheme="minorEastAsia" w:eastAsiaTheme="minorEastAsia"/>
                <w:sz w:val="21"/>
              </w:rPr>
              <w:t>（10）门禁系统读者管理软件：可通过读者类型或读者单位进行批量限制某一个类型/单位的读者在设定日期前进入图书馆。可以设定特殊读者禁止进入图书馆。</w:t>
            </w:r>
          </w:p>
          <w:p>
            <w:pPr>
              <w:rPr>
                <w:rFonts w:cs="宋体" w:asciiTheme="minorEastAsia" w:hAnsiTheme="minorEastAsia" w:eastAsiaTheme="minorEastAsia"/>
                <w:sz w:val="21"/>
              </w:rPr>
            </w:pPr>
            <w:r>
              <w:rPr>
                <w:rFonts w:hint="eastAsia" w:cs="宋体" w:asciiTheme="minorEastAsia" w:hAnsiTheme="minorEastAsia" w:eastAsiaTheme="minorEastAsia"/>
                <w:sz w:val="21"/>
              </w:rPr>
              <w:t>（11）▲门禁统计功能：B/S架构，管理员可在浏览器内输入门禁统计地址，对图书馆进馆人员进行统计。统计功能要求如下（提供软件截图证明）：</w:t>
            </w:r>
          </w:p>
          <w:p>
            <w:pPr>
              <w:rPr>
                <w:rFonts w:cs="宋体" w:asciiTheme="minorEastAsia" w:hAnsiTheme="minorEastAsia" w:eastAsiaTheme="minorEastAsia"/>
                <w:sz w:val="21"/>
              </w:rPr>
            </w:pPr>
            <w:r>
              <w:rPr>
                <w:rFonts w:hint="eastAsia" w:cs="宋体" w:asciiTheme="minorEastAsia" w:hAnsiTheme="minorEastAsia" w:eastAsiaTheme="minorEastAsia"/>
                <w:sz w:val="21"/>
              </w:rPr>
              <w:t>1）可根据读者类型、读者单位、小时段可选项按照总数、年、月、周、时间段进行统计人次或人数，统计报表的x轴y轴内容可从读者类型、读者单位、闸机组、小时段、日期选项里由用户自定义选择。</w:t>
            </w:r>
          </w:p>
          <w:p>
            <w:pPr>
              <w:rPr>
                <w:rFonts w:cs="宋体" w:asciiTheme="minorEastAsia" w:hAnsiTheme="minorEastAsia" w:eastAsiaTheme="minorEastAsia"/>
                <w:sz w:val="21"/>
              </w:rPr>
            </w:pPr>
            <w:r>
              <w:rPr>
                <w:rFonts w:hint="eastAsia" w:cs="宋体" w:asciiTheme="minorEastAsia" w:hAnsiTheme="minorEastAsia" w:eastAsiaTheme="minorEastAsia"/>
                <w:sz w:val="21"/>
              </w:rPr>
              <w:t>2）可根据读者类型、读者单位选项按照总数、年、月对入馆人次或人数进行综合性统计，综合性统计报表包括时间选项内入馆总人次/人数，单位时间内最多和最少以及平均人次/人数，默认前5读者类型和前5读者单位的入馆人次/人数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3）可根据读者类型、读者单位选项，选择两个不同的时间段进行对入馆人次/人数的对比；统计报表的y轴可以由用户从读者类型、读者单位、闸机组、小时段、日期内自定义选择。</w:t>
            </w:r>
          </w:p>
          <w:p>
            <w:pPr>
              <w:rPr>
                <w:rFonts w:cs="宋体" w:asciiTheme="minorEastAsia" w:hAnsiTheme="minorEastAsia" w:eastAsiaTheme="minorEastAsia"/>
                <w:sz w:val="21"/>
              </w:rPr>
            </w:pPr>
            <w:r>
              <w:rPr>
                <w:rFonts w:hint="eastAsia" w:cs="宋体" w:asciiTheme="minorEastAsia" w:hAnsiTheme="minorEastAsia" w:eastAsiaTheme="minorEastAsia"/>
                <w:sz w:val="21"/>
              </w:rPr>
              <w:t>4）可根据读者类型、读者单位可选项按照总数、年、月、时间段对读者入馆次数或天数进行排行。</w:t>
            </w:r>
          </w:p>
          <w:p>
            <w:pPr>
              <w:rPr>
                <w:rFonts w:cs="宋体" w:asciiTheme="minorEastAsia" w:hAnsiTheme="minorEastAsia" w:eastAsiaTheme="minorEastAsia"/>
                <w:sz w:val="21"/>
              </w:rPr>
            </w:pPr>
            <w:r>
              <w:rPr>
                <w:rFonts w:hint="eastAsia" w:cs="宋体" w:asciiTheme="minorEastAsia" w:hAnsiTheme="minorEastAsia" w:eastAsiaTheme="minorEastAsia"/>
                <w:sz w:val="21"/>
              </w:rPr>
              <w:t>5）统计功能的所有报表均可以进行本地下载。</w:t>
            </w:r>
          </w:p>
          <w:p>
            <w:pPr>
              <w:rPr>
                <w:rFonts w:cs="宋体" w:asciiTheme="minorEastAsia" w:hAnsiTheme="minorEastAsia" w:eastAsiaTheme="minorEastAsia"/>
                <w:sz w:val="21"/>
              </w:rPr>
            </w:pPr>
            <w:r>
              <w:rPr>
                <w:rFonts w:hint="eastAsia" w:cs="宋体" w:asciiTheme="minorEastAsia" w:hAnsiTheme="minorEastAsia" w:eastAsiaTheme="minorEastAsia"/>
                <w:sz w:val="21"/>
              </w:rPr>
              <w:t>（12）▲供应商所供产品具有经国家权威部门认可的有效期内的第三方检验检测机构出具的含“翼闸式或伸缩式门禁通道机”的检验检测报告。响应机型应与检测报告上检测机型及照片一致。为保证图书馆安静的学习环境，闸机工作噪音应不大于50分贝（检测报告中应含噪音检测指标）。</w:t>
            </w:r>
          </w:p>
          <w:p>
            <w:pPr>
              <w:rPr>
                <w:rFonts w:cs="宋体" w:asciiTheme="minorEastAsia" w:hAnsiTheme="minorEastAsia" w:eastAsiaTheme="minorEastAsia"/>
                <w:sz w:val="21"/>
              </w:rPr>
            </w:pPr>
            <w:r>
              <w:rPr>
                <w:rFonts w:hint="eastAsia" w:cs="宋体" w:asciiTheme="minorEastAsia" w:hAnsiTheme="minorEastAsia" w:eastAsiaTheme="minorEastAsia"/>
                <w:sz w:val="21"/>
              </w:rPr>
              <w:t>（13）响应产品须成熟、稳定、可靠。</w:t>
            </w:r>
          </w:p>
          <w:p>
            <w:pPr>
              <w:rPr>
                <w:rFonts w:cs="宋体" w:asciiTheme="minorEastAsia" w:hAnsiTheme="minorEastAsia" w:eastAsiaTheme="minorEastAsia"/>
                <w:sz w:val="21"/>
              </w:rPr>
            </w:pPr>
            <w:r>
              <w:rPr>
                <w:rFonts w:hint="eastAsia" w:cs="宋体" w:asciiTheme="minorEastAsia" w:hAnsiTheme="minorEastAsia" w:eastAsiaTheme="minorEastAsia"/>
                <w:sz w:val="21"/>
              </w:rPr>
              <w:t>（14）▲响应产品不能有侵犯任何第三方知识产权等侵权行为。</w:t>
            </w:r>
          </w:p>
          <w:p>
            <w:pPr>
              <w:rPr>
                <w:rFonts w:cs="宋体" w:asciiTheme="minorEastAsia" w:hAnsiTheme="minorEastAsia" w:eastAsiaTheme="minorEastAsia"/>
                <w:sz w:val="21"/>
              </w:rPr>
            </w:pPr>
            <w:r>
              <w:rPr>
                <w:rFonts w:hint="eastAsia" w:cs="宋体" w:asciiTheme="minorEastAsia" w:hAnsiTheme="minorEastAsia" w:eastAsiaTheme="minorEastAsia"/>
                <w:sz w:val="21"/>
              </w:rPr>
              <w:t>（15）▲门禁系统软件应具备后续升级的拓展性、兼容性。响应产品软件应支持后期加装人脸设备，二维码设备，并提供在图书馆等场所应用成功案例，应具备与图书空间预约管理系统联动功能（座位管理系统）。</w:t>
            </w:r>
          </w:p>
          <w:p>
            <w:pPr>
              <w:rPr>
                <w:rFonts w:cs="宋体" w:asciiTheme="minorEastAsia" w:hAnsiTheme="minorEastAsia" w:eastAsiaTheme="minorEastAsia"/>
                <w:sz w:val="21"/>
              </w:rPr>
            </w:pPr>
            <w:r>
              <w:rPr>
                <w:rFonts w:hint="eastAsia" w:cs="宋体" w:asciiTheme="minorEastAsia" w:hAnsiTheme="minorEastAsia" w:eastAsiaTheme="minorEastAsia"/>
                <w:sz w:val="21"/>
              </w:rPr>
              <w:t>（16）闸机主要技术规格：</w:t>
            </w:r>
          </w:p>
          <w:p>
            <w:pPr>
              <w:rPr>
                <w:rFonts w:cs="宋体" w:asciiTheme="minorEastAsia" w:hAnsiTheme="minorEastAsia" w:eastAsiaTheme="minorEastAsia"/>
                <w:sz w:val="21"/>
              </w:rPr>
            </w:pPr>
            <w:r>
              <w:rPr>
                <w:rFonts w:hint="eastAsia" w:cs="宋体" w:asciiTheme="minorEastAsia" w:hAnsiTheme="minorEastAsia" w:eastAsiaTheme="minorEastAsia"/>
                <w:sz w:val="21"/>
              </w:rPr>
              <w:t>2、技术规格要求（不低于如下要求）：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1）▲外形尺寸符合图书馆现有安装环境和条件，双通道翼闸门禁1套，闸机长度在60CM-80CM之间。并排安装宽度不超过2.4米。</w:t>
            </w:r>
          </w:p>
          <w:p>
            <w:pPr>
              <w:rPr>
                <w:rFonts w:cs="宋体" w:asciiTheme="minorEastAsia" w:hAnsiTheme="minorEastAsia" w:eastAsiaTheme="minorEastAsia"/>
                <w:sz w:val="21"/>
              </w:rPr>
            </w:pPr>
            <w:r>
              <w:rPr>
                <w:rFonts w:hint="eastAsia" w:cs="宋体" w:asciiTheme="minorEastAsia" w:hAnsiTheme="minorEastAsia" w:eastAsiaTheme="minorEastAsia"/>
                <w:sz w:val="21"/>
              </w:rPr>
              <w:t>2）壳体材料为全不锈钢结构。</w:t>
            </w:r>
          </w:p>
          <w:p>
            <w:pPr>
              <w:rPr>
                <w:rFonts w:cs="宋体" w:asciiTheme="minorEastAsia" w:hAnsiTheme="minorEastAsia" w:eastAsiaTheme="minorEastAsia"/>
                <w:sz w:val="21"/>
              </w:rPr>
            </w:pPr>
            <w:r>
              <w:rPr>
                <w:rFonts w:hint="eastAsia" w:cs="宋体" w:asciiTheme="minorEastAsia" w:hAnsiTheme="minorEastAsia" w:eastAsiaTheme="minorEastAsia"/>
                <w:sz w:val="21"/>
              </w:rPr>
              <w:t>3）▲主控模块为工业级嵌入式（单板）控制器</w:t>
            </w:r>
          </w:p>
          <w:p>
            <w:pPr>
              <w:rPr>
                <w:rFonts w:cs="宋体" w:asciiTheme="minorEastAsia" w:hAnsiTheme="minorEastAsia" w:eastAsiaTheme="minorEastAsia"/>
                <w:sz w:val="21"/>
              </w:rPr>
            </w:pPr>
            <w:r>
              <w:rPr>
                <w:rFonts w:hint="eastAsia" w:cs="宋体" w:asciiTheme="minorEastAsia" w:hAnsiTheme="minorEastAsia" w:eastAsiaTheme="minorEastAsia"/>
                <w:sz w:val="21"/>
              </w:rPr>
              <w:t>4）验卡速度&lt;0.2秒</w:t>
            </w:r>
          </w:p>
          <w:p>
            <w:pPr>
              <w:rPr>
                <w:rFonts w:cs="宋体" w:asciiTheme="minorEastAsia" w:hAnsiTheme="minorEastAsia" w:eastAsiaTheme="minorEastAsia"/>
                <w:sz w:val="21"/>
              </w:rPr>
            </w:pPr>
            <w:r>
              <w:rPr>
                <w:rFonts w:hint="eastAsia" w:cs="宋体" w:asciiTheme="minorEastAsia" w:hAnsiTheme="minorEastAsia" w:eastAsiaTheme="minorEastAsia"/>
                <w:sz w:val="21"/>
              </w:rPr>
              <w:t>5）通信速度10/100 M</w:t>
            </w:r>
          </w:p>
          <w:p>
            <w:pPr>
              <w:rPr>
                <w:rFonts w:cs="宋体" w:asciiTheme="minorEastAsia" w:hAnsiTheme="minorEastAsia" w:eastAsiaTheme="minorEastAsia"/>
                <w:sz w:val="21"/>
              </w:rPr>
            </w:pPr>
            <w:r>
              <w:rPr>
                <w:rFonts w:hint="eastAsia" w:cs="宋体" w:asciiTheme="minorEastAsia" w:hAnsiTheme="minorEastAsia" w:eastAsiaTheme="minorEastAsia"/>
                <w:sz w:val="21"/>
              </w:rPr>
              <w:t>6）最大通过率60人/分钟</w:t>
            </w:r>
          </w:p>
          <w:p>
            <w:pPr>
              <w:rPr>
                <w:rFonts w:cs="宋体" w:asciiTheme="minorEastAsia" w:hAnsiTheme="minorEastAsia" w:eastAsiaTheme="minorEastAsia"/>
                <w:sz w:val="21"/>
              </w:rPr>
            </w:pPr>
            <w:r>
              <w:rPr>
                <w:rFonts w:hint="eastAsia" w:cs="宋体" w:asciiTheme="minorEastAsia" w:hAnsiTheme="minorEastAsia" w:eastAsiaTheme="minorEastAsia"/>
                <w:sz w:val="21"/>
              </w:rPr>
              <w:t>7）扇门响应时间&lt;0.3秒</w:t>
            </w:r>
          </w:p>
          <w:p>
            <w:pPr>
              <w:rPr>
                <w:rFonts w:cs="宋体" w:asciiTheme="minorEastAsia" w:hAnsiTheme="minorEastAsia" w:eastAsiaTheme="minorEastAsia"/>
                <w:sz w:val="21"/>
              </w:rPr>
            </w:pPr>
            <w:r>
              <w:rPr>
                <w:rFonts w:hint="eastAsia" w:cs="宋体" w:asciiTheme="minorEastAsia" w:hAnsiTheme="minorEastAsia" w:eastAsiaTheme="minorEastAsia"/>
                <w:sz w:val="21"/>
              </w:rPr>
              <w:t>8）传感器响应时间&lt;0.1秒</w:t>
            </w:r>
          </w:p>
          <w:p>
            <w:pPr>
              <w:rPr>
                <w:rFonts w:cs="宋体" w:asciiTheme="minorEastAsia" w:hAnsiTheme="minorEastAsia" w:eastAsiaTheme="minorEastAsia"/>
                <w:sz w:val="21"/>
              </w:rPr>
            </w:pPr>
            <w:r>
              <w:rPr>
                <w:rFonts w:hint="eastAsia" w:cs="宋体" w:asciiTheme="minorEastAsia" w:hAnsiTheme="minorEastAsia" w:eastAsiaTheme="minorEastAsia"/>
                <w:sz w:val="21"/>
              </w:rPr>
              <w:t>9）通道采用≥3对红外检测，具有防尾随，非法闯入功能和相应的语音提示；通道具有远程控制功能，联网运行和单机运行，网络恢复时，通行数据自动上传至学校校园相关平台；通道具有防水、防漏电功能，防止茶水进入箱体，导致设备损坏；通道具有LED通行方向指示，显示通行状态；每个通道配有遥控器，同时实现线控按钮开门；人员通行数据应与学校校园相关平台对接。</w:t>
            </w:r>
          </w:p>
          <w:p>
            <w:pPr>
              <w:rPr>
                <w:rFonts w:cs="宋体" w:asciiTheme="minorEastAsia" w:hAnsiTheme="minorEastAsia" w:eastAsiaTheme="minorEastAsia"/>
                <w:sz w:val="21"/>
              </w:rPr>
            </w:pPr>
            <w:r>
              <w:rPr>
                <w:rFonts w:hint="eastAsia" w:cs="宋体" w:asciiTheme="minorEastAsia" w:hAnsiTheme="minorEastAsia" w:eastAsiaTheme="minorEastAsia"/>
                <w:sz w:val="21"/>
              </w:rPr>
              <w:t>10）门禁系统硬件应具备后续升级的拓展性、兼容性。响应产品可根据用户需求在出厂前预留人脸识别、二维码等相关预留孔。</w:t>
            </w:r>
          </w:p>
          <w:p>
            <w:pPr>
              <w:rPr>
                <w:rFonts w:cs="宋体" w:asciiTheme="minorEastAsia" w:hAnsiTheme="minorEastAsia" w:eastAsiaTheme="minorEastAsia"/>
                <w:sz w:val="21"/>
              </w:rPr>
            </w:pPr>
            <w:r>
              <w:rPr>
                <w:rFonts w:hint="eastAsia" w:cs="宋体" w:asciiTheme="minorEastAsia" w:hAnsiTheme="minorEastAsia" w:eastAsiaTheme="minorEastAsia"/>
                <w:sz w:val="21"/>
              </w:rPr>
              <w:t>（17）另外需满足：</w:t>
            </w:r>
          </w:p>
          <w:p>
            <w:pPr>
              <w:rPr>
                <w:rFonts w:cs="宋体" w:asciiTheme="minorEastAsia" w:hAnsiTheme="minorEastAsia" w:eastAsiaTheme="minorEastAsia"/>
                <w:sz w:val="21"/>
              </w:rPr>
            </w:pPr>
            <w:r>
              <w:rPr>
                <w:rFonts w:hint="eastAsia" w:cs="宋体" w:asciiTheme="minorEastAsia" w:hAnsiTheme="minorEastAsia" w:eastAsiaTheme="minorEastAsia"/>
                <w:sz w:val="21"/>
              </w:rPr>
              <w:t>1）信息标准要求：系统交付时，应向校方提供完整的数据字典。</w:t>
            </w:r>
          </w:p>
          <w:p>
            <w:pPr>
              <w:rPr>
                <w:rFonts w:cs="宋体" w:asciiTheme="minorEastAsia" w:hAnsiTheme="minorEastAsia" w:eastAsiaTheme="minorEastAsia"/>
                <w:sz w:val="21"/>
              </w:rPr>
            </w:pPr>
            <w:r>
              <w:rPr>
                <w:rFonts w:hint="eastAsia" w:cs="宋体" w:asciiTheme="minorEastAsia" w:hAnsiTheme="minorEastAsia" w:eastAsiaTheme="minorEastAsia"/>
                <w:sz w:val="21"/>
              </w:rPr>
              <w:t>2）接口要求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A、数据上行：门禁以中间库方式向数据中心提供业务数据接口。具体上行数据需求以实际调研情况为准。</w:t>
            </w:r>
          </w:p>
          <w:p>
            <w:pPr>
              <w:rPr>
                <w:rFonts w:hint="eastAsia" w:cs="宋体" w:asciiTheme="minorEastAsia" w:hAnsiTheme="minorEastAsia" w:eastAsiaTheme="minorEastAsia"/>
                <w:sz w:val="21"/>
              </w:rPr>
            </w:pPr>
            <w:r>
              <w:rPr>
                <w:rFonts w:hint="eastAsia" w:cs="宋体" w:asciiTheme="minorEastAsia" w:hAnsiTheme="minorEastAsia" w:eastAsiaTheme="minorEastAsia"/>
                <w:sz w:val="21"/>
              </w:rPr>
              <w:t>B、数据下行：数据中心以中间库的方式提供基础数据接口，门禁系统自主处理同步数据中心提供的数据，实现基础数据与数据中心同步。具体下行数据需求以实际调研情况为准，数据中心均以中间库方式提供接口。</w:t>
            </w:r>
          </w:p>
          <w:p>
            <w:pPr>
              <w:rPr>
                <w:rFonts w:cs="宋体" w:asciiTheme="minorEastAsia" w:hAnsiTheme="minorEastAsia" w:eastAsiaTheme="minorEastAsia"/>
                <w:color w:val="FF0000"/>
                <w:sz w:val="21"/>
              </w:rPr>
            </w:pPr>
            <w:r>
              <w:rPr>
                <w:rFonts w:hint="eastAsia" w:cs="宋体" w:asciiTheme="minorEastAsia" w:hAnsiTheme="minorEastAsia" w:eastAsiaTheme="minorEastAsia"/>
                <w:sz w:val="21"/>
              </w:rPr>
              <w:t>（18）所有相关软件的服务器端和数据库端可以安装在windows2008及以上操作系统上。</w:t>
            </w:r>
          </w:p>
        </w:tc>
      </w:tr>
    </w:tbl>
    <w:p>
      <w:pPr>
        <w:ind w:firstLine="210" w:firstLineChars="100"/>
        <w:rPr>
          <w:rFonts w:cs="宋体" w:asciiTheme="minorEastAsia" w:hAnsiTheme="minorEastAsia" w:eastAsiaTheme="minorEastAsia"/>
          <w:sz w:val="21"/>
        </w:rPr>
      </w:pPr>
      <w:r>
        <w:rPr>
          <w:rFonts w:hint="eastAsia" w:cs="宋体" w:asciiTheme="minorEastAsia" w:hAnsiTheme="minorEastAsia" w:eastAsiaTheme="minorEastAsia"/>
          <w:sz w:val="21"/>
        </w:rPr>
        <w:t>四、供货要求</w:t>
      </w:r>
    </w:p>
    <w:p>
      <w:pPr>
        <w:rPr>
          <w:rFonts w:cs="宋体" w:asciiTheme="minorEastAsia" w:hAnsiTheme="minorEastAsia" w:eastAsiaTheme="minorEastAsia"/>
          <w:sz w:val="21"/>
        </w:rPr>
      </w:pPr>
      <w:r>
        <w:rPr>
          <w:rFonts w:hint="eastAsia" w:cs="宋体" w:asciiTheme="minorEastAsia" w:hAnsiTheme="minorEastAsia" w:eastAsiaTheme="minorEastAsia"/>
          <w:sz w:val="21"/>
        </w:rPr>
        <w:t>（一）技术规格</w:t>
      </w:r>
    </w:p>
    <w:p>
      <w:pPr>
        <w:ind w:firstLine="411" w:firstLineChars="196"/>
        <w:rPr>
          <w:rFonts w:hint="default" w:cs="宋体" w:asciiTheme="minorEastAsia" w:hAnsiTheme="minorEastAsia" w:eastAsiaTheme="minorEastAsia"/>
          <w:sz w:val="21"/>
          <w:lang w:val="en-US" w:eastAsia="zh-CN"/>
        </w:rPr>
      </w:pPr>
      <w:r>
        <w:rPr>
          <w:rFonts w:hint="eastAsia" w:cs="宋体" w:asciiTheme="minorEastAsia" w:hAnsiTheme="minorEastAsia" w:eastAsiaTheme="minorEastAsia"/>
          <w:sz w:val="21"/>
        </w:rPr>
        <w:t>1、所有设备产品应提交详细的技术条款响应表，并注明其品牌产地和生产厂地。参考品牌：盛卡恩</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rPr>
        <w:t>正图</w:t>
      </w:r>
      <w:r>
        <w:rPr>
          <w:rFonts w:hint="eastAsia" w:cs="宋体" w:asciiTheme="minorEastAsia" w:hAnsiTheme="minorEastAsia" w:eastAsiaTheme="minorEastAsia"/>
          <w:sz w:val="21"/>
          <w:lang w:eastAsia="zh-CN"/>
        </w:rPr>
        <w:t>、</w:t>
      </w:r>
      <w:r>
        <w:rPr>
          <w:rFonts w:hint="eastAsia" w:cs="宋体" w:asciiTheme="minorEastAsia" w:hAnsiTheme="minorEastAsia" w:eastAsiaTheme="minorEastAsia"/>
          <w:sz w:val="21"/>
        </w:rPr>
        <w:t>益港</w:t>
      </w:r>
      <w:r>
        <w:rPr>
          <w:rFonts w:hint="eastAsia" w:cs="宋体" w:asciiTheme="minorEastAsia" w:hAnsiTheme="minorEastAsia" w:eastAsiaTheme="minorEastAsia"/>
          <w:sz w:val="21"/>
          <w:lang w:val="en-US" w:eastAsia="zh-CN"/>
        </w:rPr>
        <w:t>及同等以上品牌。</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2、供应商所提供的设备产品开箱后，若采购人发现有任何问题（如外观有损坏），供应商应以同样型号的设备产品在采购人规定的时间内更换，确保采购人的正常使用。</w:t>
      </w:r>
    </w:p>
    <w:p>
      <w:pPr>
        <w:rPr>
          <w:rFonts w:cs="宋体" w:asciiTheme="minorEastAsia" w:hAnsiTheme="minorEastAsia" w:eastAsiaTheme="minorEastAsia"/>
          <w:sz w:val="21"/>
        </w:rPr>
      </w:pPr>
      <w:r>
        <w:rPr>
          <w:rFonts w:hint="eastAsia" w:cs="宋体" w:asciiTheme="minorEastAsia" w:hAnsiTheme="minorEastAsia" w:eastAsiaTheme="minorEastAsia"/>
          <w:sz w:val="21"/>
        </w:rPr>
        <w:t>（二）质量要求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1、供应商应严格按照采购文件的要求和国家有关标准、规定，提供全新、未经使用且技术先进的产品。</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2、供应商应保证提供的设备产品与采购文件所述的质量、规格和性能完全一致，所使用的材料及配件达到优质标准。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（三）验收方式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1、设备产品到达现场后，成交商应在采购人在场的情况下当面开箱，双方共同清点数量，检查外观，作出开箱记录，双方共同签字确认。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成交商应保证设备产品到达采购人所在地时完好无损，所有设备产品的外包装箱不得自行拆封，外包装箱上所有标签等相关内容不得涂改或撕毁。如设备产品有缺漏、损坏等情况，由成交商负责调换、补齐或赔偿。</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3、成交商应提供完备的技术资料、原厂质保证明、装箱单和合格证等。验收合格条件如下：</w:t>
      </w:r>
    </w:p>
    <w:p>
      <w:pPr>
        <w:rPr>
          <w:rFonts w:cs="宋体" w:asciiTheme="minorEastAsia" w:hAnsiTheme="minorEastAsia" w:eastAsiaTheme="minorEastAsia"/>
          <w:sz w:val="21"/>
        </w:rPr>
      </w:pPr>
      <w:r>
        <w:rPr>
          <w:rFonts w:hint="eastAsia" w:cs="宋体" w:asciiTheme="minorEastAsia" w:hAnsiTheme="minorEastAsia" w:eastAsiaTheme="minorEastAsia"/>
          <w:sz w:val="21"/>
        </w:rPr>
        <w:t>（1）设备技术参数与采购合同一致，性能指标达到规定的标准；</w:t>
      </w:r>
    </w:p>
    <w:p>
      <w:pPr>
        <w:rPr>
          <w:rFonts w:cs="宋体" w:asciiTheme="minorEastAsia" w:hAnsiTheme="minorEastAsia" w:eastAsiaTheme="minorEastAsia"/>
          <w:sz w:val="21"/>
        </w:rPr>
      </w:pPr>
      <w:r>
        <w:rPr>
          <w:rFonts w:hint="eastAsia" w:cs="宋体" w:asciiTheme="minorEastAsia" w:hAnsiTheme="minorEastAsia" w:eastAsiaTheme="minorEastAsia"/>
          <w:sz w:val="21"/>
        </w:rPr>
        <w:t>（2）设备技术资料、原厂真货证明、装箱单、合格证等资料齐全；</w:t>
      </w:r>
    </w:p>
    <w:p>
      <w:pPr>
        <w:rPr>
          <w:rFonts w:cs="宋体" w:asciiTheme="minorEastAsia" w:hAnsiTheme="minorEastAsia" w:eastAsiaTheme="minorEastAsia"/>
          <w:sz w:val="21"/>
        </w:rPr>
      </w:pPr>
      <w:r>
        <w:rPr>
          <w:rFonts w:hint="eastAsia" w:cs="宋体" w:asciiTheme="minorEastAsia" w:hAnsiTheme="minorEastAsia" w:eastAsiaTheme="minorEastAsia"/>
          <w:sz w:val="21"/>
        </w:rPr>
        <w:t>（3）在规定时间内完成交货并由双方组织验收小组进行验收，并经验收小组签字确认。</w:t>
      </w:r>
    </w:p>
    <w:p>
      <w:pPr>
        <w:ind w:firstLine="210" w:firstLineChars="100"/>
        <w:rPr>
          <w:rFonts w:cs="宋体" w:asciiTheme="minorEastAsia" w:hAnsiTheme="minorEastAsia" w:eastAsiaTheme="minorEastAsia"/>
          <w:sz w:val="21"/>
        </w:rPr>
      </w:pPr>
      <w:r>
        <w:rPr>
          <w:rFonts w:hint="eastAsia" w:cs="宋体" w:asciiTheme="minorEastAsia" w:hAnsiTheme="minorEastAsia" w:eastAsiaTheme="minorEastAsia"/>
          <w:sz w:val="21"/>
        </w:rPr>
        <w:t xml:space="preserve"> 4、采购人组织设备产品的验收，验收不合格或不符合本项目质量与技术要求的，采购人书面通知成交商限期整改，成交商应无条件退货和返工。若成交商未按时完成整改或整改后再次验收仍不合格的，采购人有权终止合同。由此对采购人造成损失的，由成交商承担一切责任，并赔偿采购人的相关损失。</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五、商务部分要求</w:t>
      </w:r>
    </w:p>
    <w:p>
      <w:pPr>
        <w:ind w:firstLine="420" w:firstLineChars="200"/>
        <w:rPr>
          <w:rFonts w:cs="宋体" w:asciiTheme="minorEastAsia" w:hAnsiTheme="minorEastAsia" w:eastAsiaTheme="minorEastAsia"/>
          <w:sz w:val="21"/>
        </w:rPr>
      </w:pPr>
      <w:r>
        <w:rPr>
          <w:rFonts w:hint="eastAsia" w:cs="宋体" w:asciiTheme="minorEastAsia" w:hAnsiTheme="minorEastAsia" w:eastAsiaTheme="minorEastAsia"/>
          <w:sz w:val="21"/>
        </w:rPr>
        <w:t>（一）验收标准：满足采购文件要求的功能参数，满足国家标准及行业、地方标准、规范。</w:t>
      </w:r>
    </w:p>
    <w:p>
      <w:pPr>
        <w:ind w:firstLine="420" w:firstLineChars="200"/>
        <w:rPr>
          <w:rFonts w:cs="宋体" w:asciiTheme="minorEastAsia" w:hAnsiTheme="minorEastAsia" w:eastAsiaTheme="minorEastAsia"/>
          <w:sz w:val="21"/>
        </w:rPr>
      </w:pPr>
      <w:r>
        <w:rPr>
          <w:rFonts w:hint="eastAsia" w:cs="宋体" w:asciiTheme="minorEastAsia" w:hAnsiTheme="minorEastAsia" w:eastAsiaTheme="minorEastAsia"/>
          <w:sz w:val="21"/>
        </w:rPr>
        <w:t>（二）质保及售后服务要求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1、质保要求：供应商报价时须承诺所供产品为原厂质保，免费质保期至少为三年（自验收报告签字确认日起开始进入质保期）。质保期内免费提供软件维护、升级等技术支持。</w:t>
      </w:r>
    </w:p>
    <w:p>
      <w:pPr>
        <w:ind w:firstLine="420" w:firstLineChars="200"/>
        <w:rPr>
          <w:rFonts w:cs="宋体" w:asciiTheme="minorEastAsia" w:hAnsiTheme="minorEastAsia" w:eastAsiaTheme="minorEastAsia"/>
          <w:sz w:val="21"/>
        </w:rPr>
      </w:pPr>
      <w:r>
        <w:rPr>
          <w:rFonts w:hint="eastAsia" w:cs="宋体" w:asciiTheme="minorEastAsia" w:hAnsiTheme="minorEastAsia" w:eastAsiaTheme="minorEastAsia"/>
          <w:sz w:val="21"/>
        </w:rPr>
        <w:t>2、售后服务要求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（1）成交供应商应具备完善的售后服务体系，在项目实施及质保期间应具有固定的维修人员并有能力及时处理所有可能发生的故障；成交供应商在质量保证期内应当为采购人提供技术支持和服务。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1）实时技术支持：供应商应提供7×24小时技术支持服务，在接到技术支持要求时，应为使用人员提供相应咨询。</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故障响应：供应商在接到故障报修要求时，1小时内做出明确响应和安排，在2小时内为采购人提供维修服务，并做出故障诊断报告。若需要现场服务才能解决问题，应在4小时内到达南京交通职业技术学院现场，提出解决方案，并于24小时内修复。</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3）热线服务：供应商应提供热线电话、E-mail、传真、网站等途径，随时接受采购人提出的各种技术问题，并在24小时内提出解决方案。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4）定期跟踪：供应商应每半年不少于2次进行现场巡检服务，及时发现和排除潜在问题或故障隐患，保证系统的稳定运行。</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5）人员培训：对人员培训不低于2人。免费提供系统管理员的系统维护培训服务及必要的支撑技术培训服务。</w:t>
      </w:r>
    </w:p>
    <w:p>
      <w:pPr>
        <w:ind w:firstLine="210" w:firstLineChars="100"/>
        <w:rPr>
          <w:rFonts w:cs="宋体" w:asciiTheme="minorEastAsia" w:hAnsiTheme="minorEastAsia" w:eastAsiaTheme="minorEastAsia"/>
          <w:sz w:val="21"/>
        </w:rPr>
      </w:pPr>
      <w:r>
        <w:rPr>
          <w:rFonts w:hint="eastAsia" w:cs="宋体" w:asciiTheme="minorEastAsia" w:hAnsiTheme="minorEastAsia" w:eastAsiaTheme="minorEastAsia"/>
          <w:sz w:val="21"/>
        </w:rPr>
        <w:t xml:space="preserve"> （2）质保期过后服务要求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 xml:space="preserve"> 1）质量保证期过后，成交供应商应同样提供免费电话咨询服务，并应承诺提供产品上门维护服务。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2）质量保证期过后，采购人需要继续由成交供应商提供售后服务的，成交供应商应以优惠价格提供售后服务。保修期外的维护，成交供应商应承诺只收取成本费并提供终身免费技术支持服务。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3）相关应用软件系统终生免费升级维护。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六、响应报价</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七、付款方式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安装调试并通过验收，付至合同价的95%，质保期满后无质量缺陷将5%尾款一次性免息支付。</w:t>
      </w:r>
    </w:p>
    <w:p>
      <w:pPr>
        <w:widowControl/>
        <w:ind w:firstLine="480" w:firstLineChars="200"/>
        <w:rPr>
          <w:rFonts w:asciiTheme="minorEastAsia" w:hAnsiTheme="minorEastAsia" w:eastAsiaTheme="minorEastAsia"/>
          <w:bCs/>
          <w:sz w:val="24"/>
          <w:szCs w:val="24"/>
        </w:rPr>
      </w:pPr>
    </w:p>
    <w:p>
      <w:pPr>
        <w:jc w:val="center"/>
        <w:rPr>
          <w:rFonts w:cs="宋体" w:asciiTheme="minorEastAsia" w:hAnsiTheme="minorEastAsia" w:eastAsiaTheme="minorEastAsia"/>
          <w:sz w:val="36"/>
          <w:szCs w:val="36"/>
        </w:rPr>
      </w:pPr>
      <w:bookmarkStart w:id="100" w:name="_GoBack"/>
      <w:bookmarkEnd w:id="100"/>
    </w:p>
    <w:p>
      <w:pPr>
        <w:pStyle w:val="3"/>
        <w:keepNext w:val="0"/>
        <w:keepLines w:val="0"/>
        <w:jc w:val="center"/>
        <w:rPr>
          <w:rFonts w:asciiTheme="minorEastAsia" w:hAnsiTheme="minorEastAsia" w:eastAsiaTheme="minorEastAsia" w:cstheme="majorEastAsia"/>
          <w:sz w:val="36"/>
          <w:szCs w:val="36"/>
        </w:rPr>
      </w:pPr>
      <w:bookmarkStart w:id="85" w:name="_Toc8246"/>
    </w:p>
    <w:p>
      <w:pPr>
        <w:rPr>
          <w:rFonts w:asciiTheme="minorEastAsia" w:hAnsiTheme="minorEastAsia" w:eastAsiaTheme="minorEastAsia" w:cstheme="majorEastAsia"/>
          <w:sz w:val="36"/>
          <w:szCs w:val="36"/>
        </w:rPr>
      </w:pPr>
    </w:p>
    <w:p>
      <w:pPr>
        <w:pStyle w:val="3"/>
        <w:keepNext w:val="0"/>
        <w:keepLines w:val="0"/>
        <w:jc w:val="center"/>
        <w:rPr>
          <w:rFonts w:asciiTheme="minorEastAsia" w:hAnsiTheme="minorEastAsia" w:eastAsiaTheme="minorEastAsia" w:cstheme="majorEastAsia"/>
          <w:sz w:val="36"/>
          <w:szCs w:val="36"/>
        </w:rPr>
      </w:pPr>
    </w:p>
    <w:p>
      <w:pPr>
        <w:pStyle w:val="3"/>
        <w:keepNext w:val="0"/>
        <w:keepLines w:val="0"/>
        <w:jc w:val="center"/>
        <w:rPr>
          <w:rFonts w:asciiTheme="minorEastAsia" w:hAnsiTheme="minorEastAsia" w:eastAsiaTheme="minorEastAsia" w:cstheme="majorEastAsia"/>
          <w:sz w:val="36"/>
          <w:szCs w:val="36"/>
        </w:rPr>
      </w:pPr>
      <w:r>
        <w:rPr>
          <w:rFonts w:hint="eastAsia" w:asciiTheme="minorEastAsia" w:hAnsiTheme="minorEastAsia" w:eastAsiaTheme="minorEastAsia" w:cstheme="majorEastAsia"/>
          <w:sz w:val="36"/>
          <w:szCs w:val="36"/>
        </w:rPr>
        <w:t>第六章  响应文件格式</w:t>
      </w:r>
      <w:bookmarkEnd w:id="84"/>
      <w:bookmarkEnd w:id="85"/>
    </w:p>
    <w:p>
      <w:pPr>
        <w:jc w:val="center"/>
        <w:rPr>
          <w:rFonts w:asciiTheme="minorEastAsia" w:hAnsiTheme="minorEastAsia" w:eastAsiaTheme="minorEastAsia"/>
          <w:b/>
          <w:sz w:val="72"/>
        </w:rPr>
      </w:pPr>
      <w:bookmarkStart w:id="86" w:name="_Hlt26955039"/>
      <w:bookmarkEnd w:id="86"/>
      <w:bookmarkStart w:id="87" w:name="_Hlt26671244"/>
      <w:bookmarkEnd w:id="87"/>
      <w:bookmarkStart w:id="88" w:name="_Toc26554094"/>
      <w:bookmarkStart w:id="89" w:name="_Toc49090576"/>
      <w:bookmarkStart w:id="90" w:name="_Toc120614282"/>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8"/>
    <w:bookmarkEnd w:id="89"/>
    <w:bookmarkEnd w:id="90"/>
    <w:p>
      <w:pPr>
        <w:widowControl/>
        <w:adjustRightInd/>
        <w:spacing w:line="240" w:lineRule="auto"/>
        <w:jc w:val="center"/>
        <w:textAlignment w:val="auto"/>
        <w:rPr>
          <w:rStyle w:val="23"/>
          <w:rFonts w:asciiTheme="minorEastAsia" w:hAnsiTheme="minorEastAsia" w:eastAsiaTheme="minorEastAsia"/>
          <w:color w:val="auto"/>
        </w:rPr>
      </w:pPr>
      <w:r>
        <w:rPr>
          <w:rFonts w:asciiTheme="minorEastAsia" w:hAnsiTheme="minorEastAsia" w:eastAsiaTheme="minorEastAsia"/>
          <w:b/>
          <w:sz w:val="30"/>
          <w:szCs w:val="30"/>
        </w:rPr>
        <w:br w:type="page"/>
      </w:r>
      <w:r>
        <w:rPr>
          <w:rStyle w:val="23"/>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2018年度财务状况报告（复印件加盖公章）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688"/>
        <w:gridCol w:w="7234"/>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序号</w:t>
            </w:r>
          </w:p>
        </w:tc>
        <w:tc>
          <w:tcPr>
            <w:tcW w:w="688" w:type="dxa"/>
            <w:vAlign w:val="center"/>
          </w:tcPr>
          <w:p>
            <w:pPr>
              <w:widowControl/>
              <w:jc w:val="center"/>
              <w:rPr>
                <w:rFonts w:hAnsi="宋体" w:eastAsia="宋体"/>
                <w:b/>
                <w:sz w:val="21"/>
              </w:rPr>
            </w:pPr>
            <w:r>
              <w:rPr>
                <w:rFonts w:hint="eastAsia" w:hAnsi="宋体" w:eastAsia="宋体"/>
                <w:b/>
                <w:sz w:val="21"/>
              </w:rPr>
              <w:t>评审</w:t>
            </w:r>
          </w:p>
          <w:p>
            <w:pPr>
              <w:widowControl/>
              <w:jc w:val="center"/>
              <w:rPr>
                <w:rFonts w:hAnsi="宋体" w:eastAsia="宋体"/>
                <w:b/>
                <w:sz w:val="21"/>
              </w:rPr>
            </w:pPr>
            <w:r>
              <w:rPr>
                <w:rFonts w:hint="eastAsia" w:hAnsi="宋体" w:eastAsia="宋体"/>
                <w:b/>
                <w:sz w:val="21"/>
              </w:rPr>
              <w:t>因素</w:t>
            </w:r>
          </w:p>
        </w:tc>
        <w:tc>
          <w:tcPr>
            <w:tcW w:w="7234" w:type="dxa"/>
            <w:vAlign w:val="center"/>
          </w:tcPr>
          <w:p>
            <w:pPr>
              <w:widowControl/>
              <w:jc w:val="center"/>
              <w:rPr>
                <w:rFonts w:hAnsi="宋体" w:eastAsia="宋体"/>
                <w:b/>
                <w:sz w:val="21"/>
              </w:rPr>
            </w:pPr>
            <w:r>
              <w:rPr>
                <w:rFonts w:hint="eastAsia" w:hAnsi="宋体" w:eastAsia="宋体"/>
                <w:b/>
                <w:sz w:val="21"/>
              </w:rPr>
              <w:t>评审标准</w:t>
            </w:r>
          </w:p>
        </w:tc>
        <w:tc>
          <w:tcPr>
            <w:tcW w:w="898" w:type="dxa"/>
            <w:vAlign w:val="center"/>
          </w:tcPr>
          <w:p>
            <w:pPr>
              <w:widowControl/>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jc w:val="center"/>
              <w:rPr>
                <w:rFonts w:hAnsi="宋体" w:eastAsia="宋体"/>
                <w:b/>
                <w:sz w:val="21"/>
              </w:rPr>
            </w:pPr>
            <w:r>
              <w:rPr>
                <w:rFonts w:hint="eastAsia" w:hAnsi="宋体" w:eastAsia="宋体"/>
                <w:b/>
                <w:sz w:val="21"/>
              </w:rPr>
              <w:t>1</w:t>
            </w:r>
          </w:p>
        </w:tc>
        <w:tc>
          <w:tcPr>
            <w:tcW w:w="688" w:type="dxa"/>
            <w:vAlign w:val="center"/>
          </w:tcPr>
          <w:p>
            <w:pPr>
              <w:widowControl/>
              <w:jc w:val="center"/>
              <w:rPr>
                <w:rFonts w:hAnsi="宋体" w:eastAsia="宋体"/>
                <w:b/>
                <w:sz w:val="21"/>
              </w:rPr>
            </w:pPr>
            <w:r>
              <w:rPr>
                <w:rFonts w:hint="eastAsia" w:hAnsi="宋体" w:eastAsia="宋体"/>
                <w:b/>
                <w:sz w:val="21"/>
              </w:rPr>
              <w:t>价格</w:t>
            </w:r>
          </w:p>
        </w:tc>
        <w:tc>
          <w:tcPr>
            <w:tcW w:w="7234" w:type="dxa"/>
            <w:vAlign w:val="center"/>
          </w:tcPr>
          <w:p>
            <w:pPr>
              <w:ind w:firstLine="210" w:firstLineChars="100"/>
              <w:rPr>
                <w:rFonts w:hAnsi="宋体" w:eastAsia="宋体"/>
                <w:sz w:val="21"/>
              </w:rPr>
            </w:pPr>
            <w:r>
              <w:rPr>
                <w:rFonts w:hint="eastAsia" w:hAnsi="宋体" w:eastAsia="宋体"/>
                <w:sz w:val="21"/>
              </w:rPr>
              <w:t>价格分采用低价优先法计算，即满足磋商文件要求且响应价格最低的为评标基准价，其价格分为满分。</w:t>
            </w:r>
          </w:p>
          <w:p>
            <w:pPr>
              <w:ind w:firstLine="210" w:firstLineChars="100"/>
              <w:rPr>
                <w:rFonts w:hAnsi="宋体" w:eastAsia="宋体"/>
                <w:sz w:val="21"/>
              </w:rPr>
            </w:pPr>
            <w:r>
              <w:rPr>
                <w:rFonts w:hint="eastAsia" w:hAnsi="宋体" w:eastAsia="宋体"/>
                <w:sz w:val="21"/>
              </w:rPr>
              <w:t>其他供应商的价格分统一按照下列公式计算（小数点保留两位）：</w:t>
            </w:r>
          </w:p>
          <w:p>
            <w:pPr>
              <w:ind w:firstLine="210" w:firstLineChars="100"/>
              <w:rPr>
                <w:rFonts w:hAnsi="宋体" w:eastAsia="宋体"/>
                <w:sz w:val="21"/>
              </w:rPr>
            </w:pPr>
            <w:r>
              <w:rPr>
                <w:rFonts w:hint="eastAsia" w:hAnsi="宋体" w:eastAsia="宋体"/>
                <w:sz w:val="21"/>
              </w:rPr>
              <w:t>响应报价得分=(评标基准价／响应报价)×40</w:t>
            </w:r>
          </w:p>
        </w:tc>
        <w:tc>
          <w:tcPr>
            <w:tcW w:w="898" w:type="dxa"/>
            <w:vAlign w:val="center"/>
          </w:tcPr>
          <w:p>
            <w:pPr>
              <w:widowControl/>
              <w:jc w:val="center"/>
              <w:rPr>
                <w:rFonts w:hAnsi="宋体" w:eastAsia="宋体"/>
                <w:b/>
                <w:bCs/>
                <w:sz w:val="21"/>
              </w:rPr>
            </w:pPr>
            <w:r>
              <w:rPr>
                <w:rFonts w:hint="eastAsia" w:hAnsi="宋体" w:eastAsia="宋体"/>
                <w:b/>
                <w:bCs/>
                <w:sz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92" w:type="dxa"/>
            <w:vAlign w:val="center"/>
          </w:tcPr>
          <w:p>
            <w:pPr>
              <w:jc w:val="center"/>
              <w:rPr>
                <w:rFonts w:hAnsi="宋体" w:eastAsia="宋体"/>
                <w:b/>
                <w:sz w:val="21"/>
              </w:rPr>
            </w:pPr>
            <w:r>
              <w:rPr>
                <w:rFonts w:hint="eastAsia" w:hAnsi="宋体" w:eastAsia="宋体"/>
                <w:b/>
                <w:sz w:val="21"/>
              </w:rPr>
              <w:t>2.1</w:t>
            </w:r>
          </w:p>
        </w:tc>
        <w:tc>
          <w:tcPr>
            <w:tcW w:w="688" w:type="dxa"/>
            <w:vMerge w:val="restart"/>
            <w:vAlign w:val="center"/>
          </w:tcPr>
          <w:p>
            <w:pPr>
              <w:jc w:val="center"/>
              <w:rPr>
                <w:rFonts w:hAnsi="宋体" w:eastAsia="宋体"/>
                <w:b/>
                <w:sz w:val="21"/>
              </w:rPr>
            </w:pPr>
            <w:r>
              <w:rPr>
                <w:rFonts w:hint="eastAsia" w:hAnsi="宋体" w:eastAsia="宋体"/>
                <w:b/>
                <w:sz w:val="21"/>
              </w:rPr>
              <w:t>技术</w:t>
            </w:r>
          </w:p>
        </w:tc>
        <w:tc>
          <w:tcPr>
            <w:tcW w:w="7234" w:type="dxa"/>
            <w:vAlign w:val="center"/>
          </w:tcPr>
          <w:p>
            <w:pPr>
              <w:ind w:firstLine="210" w:firstLineChars="100"/>
              <w:rPr>
                <w:rFonts w:hAnsi="宋体" w:eastAsia="宋体"/>
                <w:b/>
                <w:sz w:val="21"/>
              </w:rPr>
            </w:pPr>
            <w:r>
              <w:rPr>
                <w:rFonts w:hint="eastAsia" w:hAnsi="宋体" w:eastAsia="宋体"/>
                <w:sz w:val="21"/>
              </w:rPr>
              <w:t>设备技术参数全部满足磋商要求的得满分30分：带▲号项为重要技术参数，不满足一项扣3分；其它技术参数不满足标书技术要求的，一项扣1分，扣完为止。</w:t>
            </w:r>
            <w:r>
              <w:rPr>
                <w:rFonts w:hint="eastAsia" w:hAnsi="宋体" w:eastAsia="宋体"/>
                <w:bCs/>
                <w:sz w:val="21"/>
              </w:rPr>
              <w:t>严重负偏离且影响产品性能的，经半数以上评委认定，本项不得分。</w:t>
            </w:r>
          </w:p>
        </w:tc>
        <w:tc>
          <w:tcPr>
            <w:tcW w:w="898" w:type="dxa"/>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792" w:type="dxa"/>
            <w:vAlign w:val="center"/>
          </w:tcPr>
          <w:p>
            <w:pPr>
              <w:jc w:val="center"/>
              <w:rPr>
                <w:rFonts w:eastAsia="宋体"/>
              </w:rPr>
            </w:pPr>
            <w:r>
              <w:rPr>
                <w:rFonts w:hint="eastAsia" w:hAnsi="宋体" w:eastAsia="宋体"/>
                <w:b/>
                <w:sz w:val="21"/>
              </w:rPr>
              <w:t>2.2</w:t>
            </w:r>
          </w:p>
        </w:tc>
        <w:tc>
          <w:tcPr>
            <w:tcW w:w="688" w:type="dxa"/>
            <w:vMerge w:val="continue"/>
            <w:vAlign w:val="center"/>
          </w:tcPr>
          <w:p>
            <w:pPr>
              <w:ind w:firstLine="280" w:firstLineChars="100"/>
            </w:pPr>
          </w:p>
        </w:tc>
        <w:tc>
          <w:tcPr>
            <w:tcW w:w="7234" w:type="dxa"/>
            <w:vAlign w:val="center"/>
          </w:tcPr>
          <w:p>
            <w:pPr>
              <w:ind w:firstLine="210" w:firstLineChars="100"/>
              <w:rPr>
                <w:rFonts w:hAnsi="宋体" w:eastAsia="宋体"/>
                <w:sz w:val="21"/>
              </w:rPr>
            </w:pPr>
            <w:r>
              <w:rPr>
                <w:rFonts w:hint="eastAsia" w:hAnsi="宋体" w:eastAsia="宋体"/>
                <w:sz w:val="21"/>
              </w:rPr>
              <w:t>评委根据供应商提供的设计技术方案进行综合评分：方案贴合实际，全面性、先进性、可扩展性、系统安全性强的得5分；方案较为贴合实际，全面性、先进性、可扩展性、系统安全性较强得3-4分；方案全面性、先进性、可扩展性、系统安全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9" w:hRule="atLeast"/>
          <w:jc w:val="center"/>
        </w:trPr>
        <w:tc>
          <w:tcPr>
            <w:tcW w:w="792" w:type="dxa"/>
            <w:vAlign w:val="center"/>
          </w:tcPr>
          <w:p>
            <w:pPr>
              <w:jc w:val="center"/>
              <w:rPr>
                <w:rFonts w:hAnsi="宋体" w:eastAsia="宋体"/>
                <w:sz w:val="21"/>
              </w:rPr>
            </w:pPr>
            <w:r>
              <w:rPr>
                <w:rFonts w:hint="eastAsia" w:hAnsi="宋体" w:eastAsia="宋体"/>
                <w:b/>
                <w:sz w:val="21"/>
              </w:rPr>
              <w:t>2.3</w:t>
            </w:r>
          </w:p>
        </w:tc>
        <w:tc>
          <w:tcPr>
            <w:tcW w:w="688" w:type="dxa"/>
            <w:vMerge w:val="continue"/>
            <w:vAlign w:val="center"/>
          </w:tcPr>
          <w:p>
            <w:pPr>
              <w:ind w:firstLine="210" w:firstLineChars="100"/>
              <w:rPr>
                <w:rFonts w:hAnsi="宋体" w:eastAsia="宋体"/>
                <w:sz w:val="21"/>
              </w:rPr>
            </w:pPr>
          </w:p>
        </w:tc>
        <w:tc>
          <w:tcPr>
            <w:tcW w:w="7234" w:type="dxa"/>
            <w:vAlign w:val="center"/>
          </w:tcPr>
          <w:p>
            <w:pPr>
              <w:snapToGrid w:val="0"/>
              <w:ind w:firstLine="210" w:firstLineChars="100"/>
              <w:rPr>
                <w:rFonts w:hAnsi="宋体" w:eastAsia="宋体"/>
                <w:sz w:val="21"/>
              </w:rPr>
            </w:pPr>
            <w:r>
              <w:rPr>
                <w:rFonts w:hint="eastAsia" w:hAnsi="宋体" w:eastAsia="宋体"/>
                <w:sz w:val="21"/>
              </w:rPr>
              <w:t>评委根据供应商项目实施总体方案进行综合评分（包含实施计划、交付时间管理，突发事件处置方案以及本项目实施过程中的管理保障、技术保障、制度保障等）：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3</w:t>
            </w:r>
          </w:p>
        </w:tc>
        <w:tc>
          <w:tcPr>
            <w:tcW w:w="688" w:type="dxa"/>
            <w:vAlign w:val="center"/>
          </w:tcPr>
          <w:p>
            <w:pPr>
              <w:jc w:val="center"/>
              <w:rPr>
                <w:rFonts w:hAnsi="宋体" w:eastAsia="宋体"/>
                <w:b/>
                <w:sz w:val="21"/>
              </w:rPr>
            </w:pPr>
            <w:r>
              <w:rPr>
                <w:rFonts w:hint="eastAsia" w:hAnsi="宋体" w:eastAsia="宋体"/>
                <w:b/>
                <w:sz w:val="21"/>
              </w:rPr>
              <w:t>服务</w:t>
            </w:r>
          </w:p>
        </w:tc>
        <w:tc>
          <w:tcPr>
            <w:tcW w:w="7234" w:type="dxa"/>
            <w:vAlign w:val="center"/>
          </w:tcPr>
          <w:p>
            <w:pPr>
              <w:ind w:firstLine="210" w:firstLineChars="100"/>
              <w:rPr>
                <w:rFonts w:hAnsi="宋体" w:eastAsia="宋体"/>
                <w:sz w:val="21"/>
              </w:rPr>
            </w:pPr>
            <w:r>
              <w:rPr>
                <w:rFonts w:hint="eastAsia" w:hAnsi="宋体" w:eastAsia="宋体"/>
                <w:sz w:val="21"/>
              </w:rPr>
              <w:t>评委根据供应商提供的项目维护计划方案（如服务体系、服务内容、故障解决方案、对用户故障的响应、处理、定期巡检等）进行综合评分：方案贴合实际，内容全面，合理性、可行性强的得5分；方案较为贴合实际，完整性、合理性、可行性较强得3-4分；方案完整性、合理性、可行性一般的得1-2分，没有方案的本项不得分。</w:t>
            </w:r>
          </w:p>
        </w:tc>
        <w:tc>
          <w:tcPr>
            <w:tcW w:w="898" w:type="dxa"/>
            <w:vAlign w:val="center"/>
          </w:tcPr>
          <w:p>
            <w:pPr>
              <w:autoSpaceDE w:val="0"/>
              <w:autoSpaceDN w:val="0"/>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2" w:type="dxa"/>
            <w:vAlign w:val="center"/>
          </w:tcPr>
          <w:p>
            <w:pPr>
              <w:widowControl/>
              <w:ind w:right="-24"/>
              <w:jc w:val="center"/>
              <w:rPr>
                <w:rFonts w:hAnsi="宋体" w:eastAsia="宋体"/>
                <w:b/>
                <w:sz w:val="21"/>
              </w:rPr>
            </w:pPr>
            <w:r>
              <w:rPr>
                <w:rFonts w:hint="eastAsia" w:hAnsi="宋体" w:eastAsia="宋体"/>
                <w:b/>
                <w:sz w:val="21"/>
              </w:rPr>
              <w:t>4</w:t>
            </w:r>
          </w:p>
        </w:tc>
        <w:tc>
          <w:tcPr>
            <w:tcW w:w="688" w:type="dxa"/>
            <w:vAlign w:val="center"/>
          </w:tcPr>
          <w:p>
            <w:pPr>
              <w:jc w:val="center"/>
              <w:rPr>
                <w:rFonts w:hAnsi="宋体" w:eastAsia="宋体"/>
                <w:b/>
                <w:sz w:val="21"/>
              </w:rPr>
            </w:pPr>
            <w:r>
              <w:rPr>
                <w:rFonts w:hint="eastAsia" w:hAnsi="宋体" w:eastAsia="宋体"/>
                <w:b/>
                <w:sz w:val="21"/>
              </w:rPr>
              <w:t>业绩</w:t>
            </w:r>
          </w:p>
        </w:tc>
        <w:tc>
          <w:tcPr>
            <w:tcW w:w="7234" w:type="dxa"/>
            <w:vAlign w:val="center"/>
          </w:tcPr>
          <w:p>
            <w:pPr>
              <w:pStyle w:val="29"/>
              <w:snapToGrid w:val="0"/>
              <w:ind w:firstLine="210" w:firstLineChars="100"/>
              <w:rPr>
                <w:rFonts w:hAnsi="宋体" w:eastAsia="宋体"/>
                <w:sz w:val="21"/>
              </w:rPr>
            </w:pPr>
            <w:r>
              <w:rPr>
                <w:rFonts w:hint="eastAsia" w:hAnsi="宋体" w:eastAsia="宋体"/>
                <w:sz w:val="21"/>
              </w:rPr>
              <w:t>评委根据供应商提供的自2016年1月1日以来门禁系统等类似项目业绩进行评分，每提供一个得1分，最多得10分（须提供合同书复印件，且应含有清晰可见的标的物、合同价以及盖章签字部分所在页，并须并提供联系人及联系方式，否则不得分，合同原件备查。）</w:t>
            </w:r>
          </w:p>
        </w:tc>
        <w:tc>
          <w:tcPr>
            <w:tcW w:w="898" w:type="dxa"/>
            <w:vAlign w:val="center"/>
          </w:tcPr>
          <w:p>
            <w:pPr>
              <w:widowControl/>
              <w:snapToGrid w:val="0"/>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1" w:hRule="atLeast"/>
          <w:jc w:val="center"/>
        </w:trPr>
        <w:tc>
          <w:tcPr>
            <w:tcW w:w="792" w:type="dxa"/>
            <w:vAlign w:val="center"/>
          </w:tcPr>
          <w:p>
            <w:pPr>
              <w:widowControl/>
              <w:jc w:val="center"/>
              <w:rPr>
                <w:rFonts w:eastAsia="宋体"/>
              </w:rPr>
            </w:pPr>
            <w:r>
              <w:rPr>
                <w:rFonts w:hint="eastAsia" w:hAnsi="宋体" w:eastAsia="宋体"/>
                <w:b/>
                <w:sz w:val="21"/>
              </w:rPr>
              <w:t>5</w:t>
            </w:r>
          </w:p>
        </w:tc>
        <w:tc>
          <w:tcPr>
            <w:tcW w:w="688" w:type="dxa"/>
            <w:vAlign w:val="center"/>
          </w:tcPr>
          <w:p>
            <w:pPr>
              <w:jc w:val="center"/>
              <w:rPr>
                <w:rFonts w:eastAsiaTheme="minorEastAsia"/>
              </w:rPr>
            </w:pPr>
            <w:r>
              <w:rPr>
                <w:rFonts w:hint="eastAsia" w:hAnsi="宋体" w:eastAsia="宋体"/>
                <w:b/>
                <w:sz w:val="21"/>
              </w:rPr>
              <w:t>资质</w:t>
            </w:r>
          </w:p>
        </w:tc>
        <w:tc>
          <w:tcPr>
            <w:tcW w:w="7234" w:type="dxa"/>
            <w:vAlign w:val="center"/>
          </w:tcPr>
          <w:p>
            <w:pPr>
              <w:widowControl/>
              <w:ind w:firstLine="210" w:firstLineChars="100"/>
              <w:rPr>
                <w:rFonts w:hAnsi="宋体" w:eastAsia="宋体"/>
                <w:sz w:val="21"/>
              </w:rPr>
            </w:pPr>
            <w:r>
              <w:rPr>
                <w:rFonts w:hint="eastAsia" w:hAnsi="宋体" w:eastAsia="宋体"/>
                <w:sz w:val="21"/>
              </w:rPr>
              <w:t>供应商提供与本项目相关的专利或软件著作权证书（有效期内），每提供一个得1分，最多得5分，没有的本项不得分（提供证书复印件并加盖公章）。</w:t>
            </w:r>
          </w:p>
        </w:tc>
        <w:tc>
          <w:tcPr>
            <w:tcW w:w="898" w:type="dxa"/>
            <w:vAlign w:val="center"/>
          </w:tcPr>
          <w:p>
            <w:pPr>
              <w:widowControl/>
              <w:jc w:val="center"/>
              <w:rPr>
                <w:rFonts w:hAnsi="宋体" w:eastAsia="宋体"/>
                <w:b/>
                <w:bCs/>
                <w:sz w:val="21"/>
              </w:rPr>
            </w:pPr>
            <w:r>
              <w:rPr>
                <w:rFonts w:hint="eastAsia" w:hAnsi="宋体" w:eastAsia="宋体"/>
                <w:b/>
                <w:bCs/>
                <w:sz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14" w:type="dxa"/>
            <w:gridSpan w:val="3"/>
            <w:vAlign w:val="center"/>
          </w:tcPr>
          <w:p>
            <w:pPr>
              <w:widowControl/>
              <w:jc w:val="center"/>
              <w:rPr>
                <w:rFonts w:hAnsi="宋体" w:eastAsia="宋体"/>
                <w:sz w:val="21"/>
              </w:rPr>
            </w:pPr>
            <w:r>
              <w:rPr>
                <w:rFonts w:hint="eastAsia" w:hAnsi="宋体" w:eastAsia="宋体"/>
                <w:b/>
                <w:bCs/>
                <w:sz w:val="21"/>
              </w:rPr>
              <w:t>合计</w:t>
            </w:r>
          </w:p>
        </w:tc>
        <w:tc>
          <w:tcPr>
            <w:tcW w:w="898" w:type="dxa"/>
            <w:vAlign w:val="center"/>
          </w:tcPr>
          <w:p>
            <w:pPr>
              <w:widowControl/>
              <w:jc w:val="center"/>
              <w:rPr>
                <w:rFonts w:hAnsi="宋体" w:eastAsia="宋体"/>
                <w:b/>
                <w:bCs/>
                <w:sz w:val="21"/>
              </w:rPr>
            </w:pPr>
            <w:r>
              <w:rPr>
                <w:rFonts w:hint="eastAsia" w:hAnsi="宋体" w:eastAsia="宋体"/>
                <w:b/>
                <w:bCs/>
                <w:sz w:val="21"/>
              </w:rPr>
              <w:t>100</w:t>
            </w:r>
          </w:p>
        </w:tc>
      </w:tr>
    </w:tbl>
    <w:p>
      <w:pPr>
        <w:jc w:val="cente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left"/>
        <w:rPr>
          <w:rFonts w:asciiTheme="minorEastAsia" w:hAnsiTheme="minorEastAsia" w:eastAsiaTheme="minorEastAsia"/>
          <w:szCs w:val="28"/>
        </w:rPr>
      </w:pPr>
      <w:r>
        <w:rPr>
          <w:rFonts w:hint="eastAsia" w:asciiTheme="minorEastAsia" w:hAnsiTheme="minorEastAsia" w:eastAsiaTheme="minorEastAsia"/>
          <w:szCs w:val="28"/>
        </w:rPr>
        <w:t>一、磋商申请及声明</w:t>
      </w:r>
    </w:p>
    <w:p>
      <w:pPr>
        <w:jc w:val="left"/>
        <w:rPr>
          <w:rFonts w:asciiTheme="minorEastAsia" w:hAnsiTheme="minorEastAsia" w:eastAsiaTheme="minorEastAsia"/>
          <w:szCs w:val="28"/>
        </w:rPr>
      </w:pPr>
      <w:r>
        <w:rPr>
          <w:rFonts w:hint="eastAsia" w:asciiTheme="minorEastAsia" w:hAnsiTheme="minorEastAsia" w:eastAsiaTheme="minorEastAsia"/>
          <w:szCs w:val="28"/>
        </w:rPr>
        <w:t>二、法定代表人授权书</w:t>
      </w:r>
    </w:p>
    <w:p>
      <w:pPr>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jc w:val="left"/>
        <w:rPr>
          <w:rFonts w:asciiTheme="minorEastAsia" w:hAnsiTheme="minorEastAsia" w:eastAsiaTheme="minorEastAsia"/>
          <w:szCs w:val="28"/>
        </w:rPr>
      </w:pPr>
      <w:r>
        <w:rPr>
          <w:rFonts w:hint="eastAsia" w:asciiTheme="minorEastAsia" w:hAnsiTheme="minorEastAsia" w:eastAsiaTheme="minorEastAsia"/>
          <w:szCs w:val="28"/>
        </w:rPr>
        <w:t>四、报价明细表</w:t>
      </w:r>
    </w:p>
    <w:p>
      <w:pPr>
        <w:jc w:val="left"/>
        <w:rPr>
          <w:rFonts w:asciiTheme="minorEastAsia" w:hAnsiTheme="minorEastAsia" w:eastAsiaTheme="minorEastAsia"/>
          <w:szCs w:val="28"/>
        </w:rPr>
      </w:pPr>
      <w:r>
        <w:rPr>
          <w:rFonts w:hint="eastAsia" w:asciiTheme="minorEastAsia" w:hAnsiTheme="minorEastAsia" w:eastAsiaTheme="minorEastAsia"/>
          <w:szCs w:val="28"/>
        </w:rPr>
        <w:t>五、商务条款偏离表</w:t>
      </w:r>
    </w:p>
    <w:p>
      <w:pPr>
        <w:jc w:val="left"/>
        <w:rPr>
          <w:rFonts w:asciiTheme="minorEastAsia" w:hAnsiTheme="minorEastAsia" w:eastAsiaTheme="minorEastAsia"/>
          <w:szCs w:val="28"/>
        </w:rPr>
      </w:pPr>
      <w:r>
        <w:rPr>
          <w:rFonts w:hint="eastAsia" w:asciiTheme="minorEastAsia" w:hAnsiTheme="minorEastAsia" w:eastAsiaTheme="minorEastAsia"/>
          <w:szCs w:val="28"/>
        </w:rPr>
        <w:t>六、技术规格偏离表</w:t>
      </w:r>
    </w:p>
    <w:p>
      <w:pPr>
        <w:jc w:val="left"/>
        <w:rPr>
          <w:rFonts w:asciiTheme="minorEastAsia" w:hAnsiTheme="minorEastAsia" w:eastAsiaTheme="minorEastAsia"/>
          <w:szCs w:val="28"/>
        </w:rPr>
      </w:pPr>
      <w:r>
        <w:rPr>
          <w:rFonts w:hint="eastAsia" w:asciiTheme="minorEastAsia" w:hAnsiTheme="minorEastAsia" w:eastAsiaTheme="minorEastAsia"/>
          <w:szCs w:val="28"/>
        </w:rPr>
        <w:t>七、 响应人类似业绩情况表</w:t>
      </w:r>
    </w:p>
    <w:p>
      <w:pPr>
        <w:jc w:val="left"/>
        <w:rPr>
          <w:rFonts w:asciiTheme="minorEastAsia" w:hAnsiTheme="minorEastAsia" w:eastAsiaTheme="minorEastAsia"/>
          <w:szCs w:val="28"/>
        </w:rPr>
      </w:pPr>
      <w:r>
        <w:rPr>
          <w:rFonts w:hint="eastAsia" w:asciiTheme="minorEastAsia" w:hAnsiTheme="minorEastAsia" w:eastAsiaTheme="minorEastAsia"/>
          <w:szCs w:val="28"/>
        </w:rPr>
        <w:t>八、中小企业声明函</w:t>
      </w:r>
    </w:p>
    <w:p>
      <w:pPr>
        <w:rPr>
          <w:rFonts w:asciiTheme="minorEastAsia" w:hAnsiTheme="minorEastAsia" w:eastAsiaTheme="minorEastAsia"/>
          <w:b/>
          <w:color w:val="000000"/>
          <w:sz w:val="30"/>
          <w:szCs w:val="30"/>
        </w:rPr>
      </w:pPr>
      <w:r>
        <w:rPr>
          <w:rFonts w:hint="eastAsia" w:asciiTheme="minorEastAsia" w:hAnsiTheme="minorEastAsia" w:eastAsiaTheme="minorEastAsia"/>
          <w:szCs w:val="28"/>
        </w:rPr>
        <w:t>九、服务承诺函及其它证明文件及材料等</w:t>
      </w:r>
      <w:r>
        <w:rPr>
          <w:rFonts w:asciiTheme="minorEastAsia" w:hAnsiTheme="minorEastAsia" w:eastAsiaTheme="minorEastAsia"/>
          <w:szCs w:val="28"/>
        </w:rPr>
        <w:br w:type="page"/>
      </w:r>
      <w:r>
        <w:rPr>
          <w:rStyle w:val="23"/>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2、响应货物名称：。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 （大写）元人民币。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3"/>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rPr>
          <w:rFonts w:ascii="仿宋_GB2312" w:eastAsia="仿宋_GB2312"/>
          <w:u w:val="single"/>
        </w:rPr>
      </w:pPr>
      <w:r>
        <w:rPr>
          <w:rFonts w:hint="eastAsia" w:ascii="仿宋_GB2312" w:eastAsia="仿宋_GB2312"/>
        </w:rPr>
        <w:t>响应单位公章 ：</w:t>
      </w:r>
      <w:r>
        <w:rPr>
          <w:rFonts w:hint="eastAsia" w:ascii="仿宋_GB2312" w:eastAsia="仿宋_GB2312"/>
          <w:u w:val="single"/>
        </w:rPr>
        <w:t xml:space="preserve">                                    </w:t>
      </w:r>
    </w:p>
    <w:p>
      <w:pPr>
        <w:rPr>
          <w:rFonts w:ascii="仿宋_GB2312" w:eastAsia="仿宋_GB2312"/>
        </w:rPr>
      </w:pPr>
      <w:r>
        <w:rPr>
          <w:rFonts w:hint="eastAsia" w:ascii="仿宋_GB2312" w:eastAsia="仿宋_GB2312"/>
        </w:rPr>
        <w:t xml:space="preserve">法定代表人（授权代表）签名: </w:t>
      </w:r>
      <w:r>
        <w:rPr>
          <w:rFonts w:hint="eastAsia" w:ascii="仿宋_GB2312" w:eastAsia="仿宋_GB2312"/>
          <w:u w:val="single"/>
        </w:rPr>
        <w:t xml:space="preserve">                       </w:t>
      </w:r>
    </w:p>
    <w:p>
      <w:pPr>
        <w:rPr>
          <w:rFonts w:ascii="仿宋_GB2312" w:eastAsia="仿宋_GB2312"/>
        </w:rPr>
      </w:pPr>
    </w:p>
    <w:p>
      <w:pPr>
        <w:rPr>
          <w:rFonts w:ascii="仿宋_GB2312" w:eastAsia="仿宋_GB2312"/>
        </w:rPr>
      </w:pPr>
      <w:r>
        <w:rPr>
          <w:rFonts w:hint="eastAsia" w:ascii="仿宋_GB2312" w:eastAsia="仿宋_GB2312"/>
        </w:rPr>
        <w:t>注:①响应报价应包括采购文件所规定的采购范围的全部内容；</w:t>
      </w:r>
    </w:p>
    <w:p>
      <w:pPr>
        <w:rPr>
          <w:rFonts w:ascii="Arial" w:hAnsi="Arial" w:cs="Arial"/>
          <w:sz w:val="24"/>
        </w:rPr>
      </w:pPr>
      <w:r>
        <w:rPr>
          <w:rFonts w:hint="eastAsia" w:ascii="Arial" w:hAnsi="Arial" w:cs="Arial"/>
          <w:sz w:val="24"/>
        </w:rPr>
        <w:t>以上报价不得突破预算，本次报价不包含调试、安装的费用。</w:t>
      </w:r>
    </w:p>
    <w:p>
      <w:pPr>
        <w:rPr>
          <w:rFonts w:ascii="仿宋_GB2312" w:eastAsia="仿宋_GB2312"/>
        </w:rPr>
      </w:pPr>
      <w:r>
        <w:rPr>
          <w:rFonts w:hint="eastAsia" w:ascii="仿宋_GB2312" w:eastAsia="仿宋_GB2312"/>
        </w:rPr>
        <w:t>②开标一览表格式和内容不得自行改动；</w:t>
      </w: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jc w:val="center"/>
        <w:rPr>
          <w:rStyle w:val="23"/>
          <w:rFonts w:asciiTheme="minorEastAsia" w:hAnsiTheme="minorEastAsia" w:eastAsiaTheme="minorEastAsia"/>
          <w:color w:val="auto"/>
          <w:sz w:val="30"/>
          <w:szCs w:val="30"/>
        </w:rPr>
      </w:pPr>
    </w:p>
    <w:p>
      <w:pPr>
        <w:spacing w:line="500" w:lineRule="exact"/>
        <w:ind w:firstLine="602" w:firstLineChars="200"/>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w:t>
      </w:r>
      <w:bookmarkStart w:id="91" w:name="_Toc14521"/>
      <w:bookmarkStart w:id="92" w:name="_Toc285804048"/>
      <w:bookmarkStart w:id="93" w:name="_Toc304906088"/>
      <w:r>
        <w:rPr>
          <w:rFonts w:hint="eastAsia" w:asciiTheme="minorEastAsia" w:hAnsiTheme="minorEastAsia" w:eastAsiaTheme="minorEastAsia"/>
          <w:b/>
          <w:color w:val="000000"/>
          <w:sz w:val="30"/>
          <w:szCs w:val="30"/>
        </w:rPr>
        <w:t>报价明细表</w:t>
      </w:r>
      <w:bookmarkEnd w:id="91"/>
      <w:bookmarkEnd w:id="92"/>
      <w:bookmarkEnd w:id="93"/>
    </w:p>
    <w:p/>
    <w:tbl>
      <w:tblPr>
        <w:tblStyle w:val="14"/>
        <w:tblW w:w="901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299"/>
        <w:gridCol w:w="879"/>
        <w:gridCol w:w="965"/>
        <w:gridCol w:w="1043"/>
        <w:gridCol w:w="1298"/>
        <w:gridCol w:w="710"/>
        <w:gridCol w:w="909"/>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blHeader/>
        </w:trPr>
        <w:tc>
          <w:tcPr>
            <w:tcW w:w="637" w:type="dxa"/>
            <w:vAlign w:val="center"/>
          </w:tcPr>
          <w:p>
            <w:pPr>
              <w:jc w:val="center"/>
              <w:rPr>
                <w:rFonts w:hAnsi="宋体"/>
              </w:rPr>
            </w:pPr>
            <w:r>
              <w:rPr>
                <w:rFonts w:hint="eastAsia" w:hAnsi="宋体"/>
              </w:rPr>
              <w:t>序号</w:t>
            </w:r>
          </w:p>
        </w:tc>
        <w:tc>
          <w:tcPr>
            <w:tcW w:w="1299" w:type="dxa"/>
            <w:vAlign w:val="center"/>
          </w:tcPr>
          <w:p>
            <w:pPr>
              <w:jc w:val="center"/>
              <w:rPr>
                <w:rFonts w:hAnsi="宋体"/>
              </w:rPr>
            </w:pPr>
            <w:r>
              <w:rPr>
                <w:rFonts w:hint="eastAsia" w:hAnsi="宋体"/>
              </w:rPr>
              <w:t>货物名称</w:t>
            </w:r>
          </w:p>
        </w:tc>
        <w:tc>
          <w:tcPr>
            <w:tcW w:w="879" w:type="dxa"/>
            <w:vAlign w:val="center"/>
          </w:tcPr>
          <w:p>
            <w:pPr>
              <w:jc w:val="center"/>
              <w:rPr>
                <w:rFonts w:hAnsi="宋体"/>
              </w:rPr>
            </w:pPr>
            <w:r>
              <w:rPr>
                <w:rFonts w:hint="eastAsia" w:hAnsi="宋体"/>
              </w:rPr>
              <w:t>数量</w:t>
            </w:r>
          </w:p>
        </w:tc>
        <w:tc>
          <w:tcPr>
            <w:tcW w:w="965" w:type="dxa"/>
            <w:vAlign w:val="center"/>
          </w:tcPr>
          <w:p>
            <w:pPr>
              <w:jc w:val="center"/>
              <w:rPr>
                <w:rFonts w:hAnsi="宋体"/>
              </w:rPr>
            </w:pPr>
            <w:r>
              <w:rPr>
                <w:rFonts w:hint="eastAsia" w:hAnsi="宋体"/>
              </w:rPr>
              <w:t>品牌</w:t>
            </w:r>
          </w:p>
        </w:tc>
        <w:tc>
          <w:tcPr>
            <w:tcW w:w="1043" w:type="dxa"/>
            <w:vAlign w:val="center"/>
          </w:tcPr>
          <w:p>
            <w:pPr>
              <w:jc w:val="center"/>
              <w:rPr>
                <w:rFonts w:hAnsi="宋体"/>
              </w:rPr>
            </w:pPr>
            <w:r>
              <w:rPr>
                <w:rFonts w:hint="eastAsia" w:hAnsi="宋体"/>
              </w:rPr>
              <w:t>单价（元）</w:t>
            </w:r>
          </w:p>
        </w:tc>
        <w:tc>
          <w:tcPr>
            <w:tcW w:w="1298" w:type="dxa"/>
            <w:vAlign w:val="center"/>
          </w:tcPr>
          <w:p>
            <w:pPr>
              <w:jc w:val="center"/>
              <w:rPr>
                <w:rFonts w:hAnsi="宋体"/>
              </w:rPr>
            </w:pPr>
            <w:r>
              <w:rPr>
                <w:rFonts w:hint="eastAsia" w:hAnsi="宋体"/>
              </w:rPr>
              <w:t>总价（元）</w:t>
            </w:r>
          </w:p>
        </w:tc>
        <w:tc>
          <w:tcPr>
            <w:tcW w:w="710" w:type="dxa"/>
            <w:vAlign w:val="center"/>
          </w:tcPr>
          <w:p>
            <w:pPr>
              <w:jc w:val="center"/>
              <w:rPr>
                <w:rFonts w:hAnsi="宋体"/>
              </w:rPr>
            </w:pPr>
            <w:r>
              <w:rPr>
                <w:rFonts w:hint="eastAsia" w:hAnsi="宋体"/>
              </w:rPr>
              <w:t>产地</w:t>
            </w:r>
          </w:p>
        </w:tc>
        <w:tc>
          <w:tcPr>
            <w:tcW w:w="909" w:type="dxa"/>
            <w:vAlign w:val="center"/>
          </w:tcPr>
          <w:p>
            <w:pPr>
              <w:jc w:val="center"/>
              <w:rPr>
                <w:rFonts w:hAnsi="宋体"/>
              </w:rPr>
            </w:pPr>
            <w:r>
              <w:rPr>
                <w:rFonts w:hint="eastAsia" w:hAnsi="宋体"/>
              </w:rPr>
              <w:t>质保期</w:t>
            </w:r>
          </w:p>
        </w:tc>
        <w:tc>
          <w:tcPr>
            <w:tcW w:w="1272" w:type="dxa"/>
            <w:vAlign w:val="center"/>
          </w:tcPr>
          <w:p>
            <w:pPr>
              <w:jc w:val="center"/>
              <w:rPr>
                <w:rFonts w:hAnsi="宋体"/>
              </w:rPr>
            </w:pPr>
            <w:r>
              <w:rPr>
                <w:rFonts w:hint="eastAsia" w:hAns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1</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trPr>
        <w:tc>
          <w:tcPr>
            <w:tcW w:w="637" w:type="dxa"/>
            <w:vAlign w:val="center"/>
          </w:tcPr>
          <w:p>
            <w:pPr>
              <w:jc w:val="center"/>
              <w:rPr>
                <w:rFonts w:hAnsi="宋体"/>
              </w:rPr>
            </w:pPr>
            <w:r>
              <w:rPr>
                <w:rFonts w:hAnsi="宋体"/>
              </w:rPr>
              <w:t>2</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3</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4</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blHeader/>
        </w:trPr>
        <w:tc>
          <w:tcPr>
            <w:tcW w:w="637" w:type="dxa"/>
            <w:vAlign w:val="center"/>
          </w:tcPr>
          <w:p>
            <w:pPr>
              <w:jc w:val="center"/>
              <w:rPr>
                <w:rFonts w:hAnsi="宋体"/>
              </w:rPr>
            </w:pPr>
            <w:r>
              <w:rPr>
                <w:rFonts w:hAnsi="宋体"/>
              </w:rPr>
              <w:t>5</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blHeader/>
        </w:trPr>
        <w:tc>
          <w:tcPr>
            <w:tcW w:w="637" w:type="dxa"/>
            <w:vAlign w:val="center"/>
          </w:tcPr>
          <w:p>
            <w:pPr>
              <w:jc w:val="center"/>
              <w:rPr>
                <w:rFonts w:hAnsi="宋体"/>
              </w:rPr>
            </w:pPr>
            <w:r>
              <w:rPr>
                <w:rFonts w:hint="eastAsia" w:hAnsi="宋体"/>
              </w:rPr>
              <w:t>6</w:t>
            </w:r>
          </w:p>
        </w:tc>
        <w:tc>
          <w:tcPr>
            <w:tcW w:w="1299" w:type="dxa"/>
          </w:tcPr>
          <w:p>
            <w:pPr>
              <w:rPr>
                <w:rFonts w:hAnsi="宋体"/>
              </w:rPr>
            </w:pPr>
          </w:p>
        </w:tc>
        <w:tc>
          <w:tcPr>
            <w:tcW w:w="879" w:type="dxa"/>
            <w:vAlign w:val="center"/>
          </w:tcPr>
          <w:p>
            <w:pPr>
              <w:jc w:val="center"/>
              <w:rPr>
                <w:rFonts w:hAnsi="宋体" w:cs="宋体"/>
              </w:rPr>
            </w:pPr>
          </w:p>
        </w:tc>
        <w:tc>
          <w:tcPr>
            <w:tcW w:w="965" w:type="dxa"/>
          </w:tcPr>
          <w:p>
            <w:pPr>
              <w:rPr>
                <w:rFonts w:hAnsi="宋体"/>
              </w:rPr>
            </w:pPr>
          </w:p>
        </w:tc>
        <w:tc>
          <w:tcPr>
            <w:tcW w:w="1043" w:type="dxa"/>
          </w:tcPr>
          <w:p>
            <w:pPr>
              <w:rPr>
                <w:rFonts w:hAnsi="宋体"/>
              </w:rPr>
            </w:pPr>
          </w:p>
        </w:tc>
        <w:tc>
          <w:tcPr>
            <w:tcW w:w="1298" w:type="dxa"/>
          </w:tcPr>
          <w:p>
            <w:pPr>
              <w:rPr>
                <w:rFonts w:hAnsi="宋体"/>
              </w:rPr>
            </w:pPr>
          </w:p>
        </w:tc>
        <w:tc>
          <w:tcPr>
            <w:tcW w:w="710" w:type="dxa"/>
          </w:tcPr>
          <w:p>
            <w:pPr>
              <w:rPr>
                <w:rFonts w:hAnsi="宋体"/>
              </w:rPr>
            </w:pPr>
          </w:p>
        </w:tc>
        <w:tc>
          <w:tcPr>
            <w:tcW w:w="909" w:type="dxa"/>
          </w:tcPr>
          <w:p>
            <w:pPr>
              <w:rPr>
                <w:rFonts w:hAnsi="宋体"/>
              </w:rPr>
            </w:pPr>
          </w:p>
        </w:tc>
        <w:tc>
          <w:tcPr>
            <w:tcW w:w="1272" w:type="dxa"/>
          </w:tcPr>
          <w:p>
            <w:pPr>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blHeader/>
        </w:trPr>
        <w:tc>
          <w:tcPr>
            <w:tcW w:w="9012" w:type="dxa"/>
            <w:gridSpan w:val="9"/>
          </w:tcPr>
          <w:p>
            <w:pPr>
              <w:ind w:firstLine="1200" w:firstLineChars="500"/>
              <w:rPr>
                <w:rFonts w:hAnsi="宋体"/>
                <w:sz w:val="24"/>
                <w:u w:val="single"/>
              </w:rPr>
            </w:pPr>
            <w:r>
              <w:rPr>
                <w:rFonts w:hint="eastAsia" w:hAnsi="宋体"/>
                <w:sz w:val="24"/>
              </w:rPr>
              <w:t>合计：</w:t>
            </w:r>
            <w:r>
              <w:rPr>
                <w:rFonts w:hAnsi="宋体"/>
                <w:sz w:val="24"/>
              </w:rPr>
              <w:t>¥</w:t>
            </w:r>
            <w:r>
              <w:rPr>
                <w:rFonts w:hint="eastAsia" w:hAnsi="宋体"/>
                <w:sz w:val="24"/>
                <w:u w:val="single"/>
              </w:rPr>
              <w:t xml:space="preserve">                                   </w:t>
            </w:r>
          </w:p>
          <w:p>
            <w:pPr>
              <w:ind w:firstLine="1080" w:firstLineChars="450"/>
              <w:rPr>
                <w:rFonts w:hAnsi="宋体"/>
              </w:rPr>
            </w:pPr>
            <w:r>
              <w:rPr>
                <w:rFonts w:hint="eastAsia" w:hAnsi="宋体"/>
                <w:sz w:val="24"/>
              </w:rPr>
              <w:t>（大写）人民币</w:t>
            </w:r>
            <w:r>
              <w:rPr>
                <w:rFonts w:hint="eastAsia" w:hAnsi="宋体"/>
                <w:sz w:val="24"/>
                <w:u w:val="single"/>
              </w:rPr>
              <w:t xml:space="preserve">    </w:t>
            </w:r>
            <w:r>
              <w:rPr>
                <w:rFonts w:hint="eastAsia" w:hAnsi="宋体"/>
                <w:sz w:val="24"/>
              </w:rPr>
              <w:t>拾</w:t>
            </w:r>
            <w:r>
              <w:rPr>
                <w:rFonts w:hint="eastAsia" w:hAnsi="宋体"/>
                <w:sz w:val="24"/>
                <w:u w:val="single"/>
              </w:rPr>
              <w:t xml:space="preserve">    </w:t>
            </w:r>
            <w:r>
              <w:rPr>
                <w:rFonts w:hint="eastAsia" w:hAnsi="宋体"/>
                <w:sz w:val="24"/>
              </w:rPr>
              <w:t>万</w:t>
            </w:r>
            <w:r>
              <w:rPr>
                <w:rFonts w:hint="eastAsia" w:hAnsi="宋体"/>
                <w:sz w:val="24"/>
                <w:u w:val="single"/>
              </w:rPr>
              <w:t xml:space="preserve">    </w:t>
            </w:r>
            <w:r>
              <w:rPr>
                <w:rFonts w:hint="eastAsia" w:hAnsi="宋体"/>
                <w:sz w:val="24"/>
              </w:rPr>
              <w:t>仟</w:t>
            </w:r>
            <w:r>
              <w:rPr>
                <w:rFonts w:hint="eastAsia" w:hAnsi="宋体"/>
                <w:sz w:val="24"/>
                <w:u w:val="single"/>
              </w:rPr>
              <w:t xml:space="preserve">    </w:t>
            </w:r>
            <w:r>
              <w:rPr>
                <w:rFonts w:hint="eastAsia" w:hAnsi="宋体"/>
                <w:sz w:val="24"/>
              </w:rPr>
              <w:t>佰</w:t>
            </w:r>
            <w:r>
              <w:rPr>
                <w:rFonts w:hint="eastAsia" w:hAnsi="宋体"/>
                <w:sz w:val="24"/>
                <w:u w:val="single"/>
              </w:rPr>
              <w:t xml:space="preserve">    </w:t>
            </w:r>
            <w:r>
              <w:rPr>
                <w:rFonts w:hint="eastAsia" w:hAnsi="宋体"/>
                <w:sz w:val="24"/>
              </w:rPr>
              <w:t>拾</w:t>
            </w:r>
            <w:r>
              <w:rPr>
                <w:rFonts w:hint="eastAsia" w:hAnsi="宋体"/>
                <w:sz w:val="24"/>
                <w:u w:val="single"/>
              </w:rPr>
              <w:t xml:space="preserve">    </w:t>
            </w:r>
            <w:r>
              <w:rPr>
                <w:rFonts w:hint="eastAsia" w:hAnsi="宋体"/>
                <w:sz w:val="24"/>
              </w:rPr>
              <w:t>元整</w:t>
            </w:r>
          </w:p>
        </w:tc>
      </w:tr>
    </w:tbl>
    <w:p>
      <w:pPr>
        <w:rPr>
          <w:rFonts w:ascii="仿宋_GB2312" w:eastAsia="仿宋_GB2312"/>
          <w:sz w:val="24"/>
        </w:rPr>
      </w:pPr>
      <w:r>
        <w:rPr>
          <w:rFonts w:hint="eastAsia" w:ascii="仿宋_GB2312" w:eastAsia="仿宋_GB2312"/>
          <w:sz w:val="24"/>
        </w:rPr>
        <w:t xml:space="preserve">响应单位公章 ：            </w:t>
      </w:r>
    </w:p>
    <w:p>
      <w:pPr>
        <w:rPr>
          <w:rFonts w:ascii="仿宋_GB2312" w:hAnsi="宋体" w:eastAsia="仿宋_GB2312"/>
          <w:sz w:val="24"/>
        </w:rPr>
      </w:pPr>
      <w:r>
        <w:rPr>
          <w:rFonts w:hint="eastAsia" w:ascii="仿宋_GB2312" w:eastAsia="仿宋_GB2312"/>
          <w:sz w:val="24"/>
        </w:rPr>
        <w:t xml:space="preserve">法定代表人（授权代表）签名:   </w:t>
      </w:r>
    </w:p>
    <w:p>
      <w:pPr>
        <w:rPr>
          <w:rFonts w:ascii="仿宋_GB2312" w:hAnsi="宋体" w:eastAsia="仿宋_GB2312"/>
          <w:sz w:val="24"/>
        </w:rPr>
      </w:pPr>
    </w:p>
    <w:p>
      <w:pPr>
        <w:rPr>
          <w:rFonts w:ascii="仿宋_GB2312" w:hAnsi="宋体" w:eastAsia="仿宋_GB2312"/>
          <w:sz w:val="24"/>
        </w:rPr>
      </w:pPr>
      <w:r>
        <w:rPr>
          <w:rFonts w:hint="eastAsia" w:ascii="仿宋_GB2312" w:hAnsi="宋体" w:eastAsia="仿宋_GB2312"/>
          <w:sz w:val="24"/>
        </w:rPr>
        <w:t>注：</w:t>
      </w:r>
      <w:r>
        <w:rPr>
          <w:rFonts w:ascii="仿宋_GB2312" w:hAnsi="宋体" w:eastAsia="仿宋_GB2312"/>
          <w:sz w:val="24"/>
        </w:rPr>
        <w:t>(1)此表为表样，行数可自行添加，但表式不变。</w:t>
      </w:r>
    </w:p>
    <w:p>
      <w:pPr>
        <w:ind w:firstLine="480" w:firstLineChars="200"/>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以上报价包含</w:t>
      </w:r>
      <w:r>
        <w:rPr>
          <w:rFonts w:ascii="仿宋_GB2312" w:hAnsi="宋体" w:eastAsia="仿宋_GB2312"/>
          <w:sz w:val="24"/>
        </w:rPr>
        <w:t>安装调试费用、质保及人员培训、后续服务及其他所有费用</w:t>
      </w:r>
      <w:r>
        <w:rPr>
          <w:rFonts w:hint="eastAsia" w:ascii="仿宋_GB2312" w:hAnsi="宋体" w:eastAsia="仿宋_GB2312"/>
          <w:sz w:val="24"/>
        </w:rPr>
        <w:t>，具体明细请自行填列</w:t>
      </w:r>
      <w:r>
        <w:rPr>
          <w:rFonts w:ascii="仿宋_GB2312" w:hAnsi="宋体" w:eastAsia="仿宋_GB2312"/>
          <w:sz w:val="24"/>
        </w:rPr>
        <w:t>。</w:t>
      </w:r>
    </w:p>
    <w:p>
      <w:pPr>
        <w:ind w:firstLine="480" w:firstLineChars="200"/>
        <w:rPr>
          <w:rFonts w:ascii="仿宋_GB2312" w:hAnsi="宋体" w:eastAsia="仿宋_GB2312"/>
          <w:sz w:val="24"/>
        </w:rPr>
      </w:pPr>
      <w:r>
        <w:rPr>
          <w:rFonts w:ascii="仿宋_GB2312" w:hAnsi="宋体" w:eastAsia="仿宋_GB2312"/>
          <w:sz w:val="24"/>
        </w:rPr>
        <w:t>(3)总价=单价*数量。</w:t>
      </w:r>
    </w:p>
    <w:p>
      <w:pPr>
        <w:ind w:firstLine="360" w:firstLineChars="150"/>
        <w:rPr>
          <w:rFonts w:ascii="仿宋_GB2312" w:hAnsi="宋体" w:eastAsia="仿宋_GB2312"/>
          <w:sz w:val="24"/>
        </w:rPr>
      </w:pPr>
      <w:r>
        <w:rPr>
          <w:rFonts w:ascii="仿宋_GB2312" w:hAnsi="宋体" w:eastAsia="仿宋_GB2312"/>
          <w:sz w:val="24"/>
        </w:rPr>
        <w:t xml:space="preserve"> (4)上表中的“报价总计”数应当等于“开标一览表”中“报价总计”数</w:t>
      </w:r>
      <w:r>
        <w:rPr>
          <w:rFonts w:hint="eastAsia" w:ascii="仿宋_GB2312" w:hAnsi="宋体" w:eastAsia="仿宋_GB2312"/>
          <w:sz w:val="24"/>
        </w:rPr>
        <w:t>。</w:t>
      </w:r>
    </w:p>
    <w:p>
      <w:pPr>
        <w:spacing w:line="0" w:lineRule="atLeast"/>
        <w:rPr>
          <w:rFonts w:ascii="仿宋_GB2312" w:hAnsi="宋体" w:eastAsia="仿宋_GB2312"/>
        </w:rPr>
      </w:pPr>
      <w:r>
        <w:rPr>
          <w:rFonts w:ascii="仿宋_GB2312" w:hAnsi="宋体" w:eastAsia="仿宋_GB2312"/>
        </w:rPr>
        <w:t>2、</w:t>
      </w:r>
      <w:r>
        <w:rPr>
          <w:rFonts w:hint="eastAsia" w:ascii="仿宋_GB2312" w:hAnsi="宋体" w:eastAsia="仿宋_GB2312"/>
        </w:rPr>
        <w:t>响应</w:t>
      </w:r>
      <w:r>
        <w:rPr>
          <w:rFonts w:ascii="仿宋_GB2312" w:hAnsi="宋体" w:eastAsia="仿宋_GB2312"/>
        </w:rPr>
        <w:t>人根据系统方案添加的设备、材料等也请列出</w:t>
      </w:r>
      <w:r>
        <w:rPr>
          <w:rFonts w:hint="eastAsia" w:ascii="仿宋_GB2312" w:hAnsi="宋体" w:eastAsia="仿宋_GB2312"/>
        </w:rPr>
        <w:t>。</w:t>
      </w:r>
    </w:p>
    <w:p>
      <w:pPr>
        <w:spacing w:line="0" w:lineRule="atLeast"/>
        <w:rPr>
          <w:rFonts w:ascii="仿宋_GB2312" w:hAnsi="宋体" w:eastAsia="仿宋_GB2312"/>
        </w:rPr>
      </w:pPr>
      <w:r>
        <w:rPr>
          <w:rFonts w:ascii="仿宋_GB2312" w:hAnsi="宋体" w:eastAsia="仿宋_GB2312"/>
        </w:rPr>
        <w:t>3、是否偏离用符号“+、=、-”分别表示正偏离、完全响应、负偏离</w:t>
      </w:r>
      <w:r>
        <w:rPr>
          <w:rFonts w:hint="eastAsia" w:ascii="仿宋_GB2312" w:hAnsi="宋体" w:eastAsia="仿宋_GB2312"/>
        </w:rPr>
        <w:t>。</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pStyle w:val="24"/>
        <w:widowControl/>
        <w:ind w:firstLine="0" w:firstLineChars="0"/>
        <w:jc w:val="left"/>
        <w:rPr>
          <w:rFonts w:asciiTheme="minorEastAsia" w:hAnsiTheme="minorEastAsia" w:eastAsiaTheme="minorEastAsia"/>
          <w:b/>
          <w:color w:val="000000"/>
          <w:sz w:val="30"/>
          <w:szCs w:val="30"/>
        </w:rPr>
      </w:pPr>
    </w:p>
    <w:p>
      <w:pPr>
        <w:pStyle w:val="24"/>
        <w:widowControl/>
        <w:ind w:firstLine="0" w:firstLineChars="0"/>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pStyle w:val="2"/>
        <w:rPr>
          <w:rFonts w:cs="宋体" w:asciiTheme="minorEastAsia" w:hAnsiTheme="minorEastAsia" w:eastAsiaTheme="minorEastAsia"/>
          <w:color w:val="000000"/>
          <w:sz w:val="21"/>
          <w:lang w:val="zh-CN"/>
        </w:rPr>
      </w:pPr>
    </w:p>
    <w:p>
      <w:pPr>
        <w:rPr>
          <w:rFonts w:cs="宋体" w:asciiTheme="minorEastAsia" w:hAnsiTheme="minorEastAsia" w:eastAsiaTheme="minorEastAsia"/>
          <w:color w:val="000000"/>
          <w:sz w:val="21"/>
          <w:lang w:val="zh-CN"/>
        </w:rPr>
      </w:pPr>
    </w:p>
    <w:p>
      <w:pPr>
        <w:spacing w:line="500" w:lineRule="exact"/>
        <w:ind w:firstLine="602" w:firstLineChars="200"/>
        <w:jc w:val="center"/>
        <w:rPr>
          <w:rFonts w:hAnsi="宋体"/>
          <w:b/>
          <w:sz w:val="32"/>
          <w:szCs w:val="32"/>
        </w:rPr>
      </w:pPr>
      <w:r>
        <w:rPr>
          <w:rFonts w:hint="eastAsia" w:asciiTheme="minorEastAsia" w:hAnsiTheme="minorEastAsia" w:eastAsiaTheme="minorEastAsia"/>
          <w:b/>
          <w:color w:val="000000"/>
          <w:sz w:val="30"/>
          <w:szCs w:val="30"/>
        </w:rPr>
        <w:t>六、技术规格偏离表</w:t>
      </w:r>
      <w:r>
        <w:rPr>
          <w:rFonts w:hint="eastAsia" w:asciiTheme="minorEastAsia" w:hAnsiTheme="minorEastAsia" w:eastAsiaTheme="minorEastAsia"/>
          <w:b/>
          <w:color w:val="000000"/>
          <w:sz w:val="30"/>
          <w:szCs w:val="30"/>
        </w:rPr>
        <w:cr/>
      </w:r>
    </w:p>
    <w:p>
      <w:pPr>
        <w:spacing w:line="380" w:lineRule="exact"/>
        <w:ind w:firstLine="240" w:firstLineChars="100"/>
        <w:rPr>
          <w:rFonts w:hAnsi="宋体"/>
          <w:sz w:val="24"/>
        </w:rPr>
      </w:pPr>
      <w:r>
        <w:rPr>
          <w:rFonts w:hint="eastAsia" w:hAnsi="宋体"/>
          <w:sz w:val="24"/>
        </w:rPr>
        <w:t>响应人名称：                         采购编号∶</w:t>
      </w:r>
      <w:r>
        <w:rPr>
          <w:rFonts w:hAnsi="宋体"/>
          <w:sz w:val="24"/>
        </w:rPr>
        <w:tab/>
      </w:r>
    </w:p>
    <w:tbl>
      <w:tblPr>
        <w:tblStyle w:val="14"/>
        <w:tblW w:w="9142" w:type="dxa"/>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516"/>
        <w:gridCol w:w="1585"/>
        <w:gridCol w:w="1789"/>
        <w:gridCol w:w="15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vAlign w:val="center"/>
          </w:tcPr>
          <w:p>
            <w:pPr>
              <w:spacing w:line="380" w:lineRule="exact"/>
              <w:rPr>
                <w:rFonts w:hAnsi="宋体"/>
                <w:sz w:val="24"/>
              </w:rPr>
            </w:pPr>
            <w:r>
              <w:rPr>
                <w:rFonts w:hint="eastAsia" w:hAnsi="宋体"/>
                <w:sz w:val="24"/>
              </w:rPr>
              <w:t>合同包/品目号</w:t>
            </w:r>
          </w:p>
        </w:tc>
        <w:tc>
          <w:tcPr>
            <w:tcW w:w="1516" w:type="dxa"/>
            <w:vAlign w:val="center"/>
          </w:tcPr>
          <w:p>
            <w:pPr>
              <w:spacing w:line="380" w:lineRule="exact"/>
              <w:rPr>
                <w:rFonts w:hAnsi="宋体"/>
                <w:sz w:val="24"/>
              </w:rPr>
            </w:pPr>
            <w:r>
              <w:rPr>
                <w:rFonts w:hint="eastAsia" w:hAnsi="宋体"/>
                <w:sz w:val="24"/>
              </w:rPr>
              <w:t>货物名称</w:t>
            </w:r>
          </w:p>
        </w:tc>
        <w:tc>
          <w:tcPr>
            <w:tcW w:w="1585" w:type="dxa"/>
            <w:vAlign w:val="center"/>
          </w:tcPr>
          <w:p>
            <w:pPr>
              <w:spacing w:line="380" w:lineRule="exact"/>
              <w:rPr>
                <w:rFonts w:hAnsi="宋体"/>
                <w:sz w:val="24"/>
              </w:rPr>
            </w:pPr>
            <w:r>
              <w:rPr>
                <w:rFonts w:hint="eastAsia" w:hAnsi="宋体"/>
                <w:sz w:val="24"/>
              </w:rPr>
              <w:t>规格条目号</w:t>
            </w:r>
          </w:p>
        </w:tc>
        <w:tc>
          <w:tcPr>
            <w:tcW w:w="1789" w:type="dxa"/>
            <w:vAlign w:val="center"/>
          </w:tcPr>
          <w:p>
            <w:pPr>
              <w:spacing w:line="380" w:lineRule="exact"/>
              <w:rPr>
                <w:rFonts w:hAnsi="宋体"/>
                <w:sz w:val="24"/>
              </w:rPr>
            </w:pPr>
            <w:r>
              <w:rPr>
                <w:rFonts w:hint="eastAsia" w:hAnsi="宋体"/>
                <w:sz w:val="24"/>
              </w:rPr>
              <w:t>招标文件要求</w:t>
            </w:r>
          </w:p>
        </w:tc>
        <w:tc>
          <w:tcPr>
            <w:tcW w:w="1516" w:type="dxa"/>
            <w:vAlign w:val="center"/>
          </w:tcPr>
          <w:p>
            <w:pPr>
              <w:spacing w:line="380" w:lineRule="exact"/>
              <w:rPr>
                <w:rFonts w:hAnsi="宋体"/>
                <w:sz w:val="24"/>
              </w:rPr>
            </w:pPr>
            <w:r>
              <w:rPr>
                <w:rFonts w:hint="eastAsia" w:hAnsi="宋体"/>
                <w:sz w:val="24"/>
              </w:rPr>
              <w:t>响应响应</w:t>
            </w:r>
          </w:p>
        </w:tc>
        <w:tc>
          <w:tcPr>
            <w:tcW w:w="1516" w:type="dxa"/>
            <w:vAlign w:val="center"/>
          </w:tcPr>
          <w:p>
            <w:pPr>
              <w:spacing w:line="380" w:lineRule="exact"/>
              <w:rPr>
                <w:rFonts w:hAnsi="宋体"/>
                <w:sz w:val="24"/>
              </w:rPr>
            </w:pPr>
            <w:r>
              <w:rPr>
                <w:rFonts w:hint="eastAsia" w:hAnsi="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trPr>
        <w:tc>
          <w:tcPr>
            <w:tcW w:w="1220" w:type="dxa"/>
          </w:tcPr>
          <w:p>
            <w:pPr>
              <w:spacing w:line="380" w:lineRule="exact"/>
              <w:rPr>
                <w:rFonts w:hAnsi="宋体"/>
                <w:sz w:val="24"/>
              </w:rPr>
            </w:pPr>
          </w:p>
        </w:tc>
        <w:tc>
          <w:tcPr>
            <w:tcW w:w="1516" w:type="dxa"/>
          </w:tcPr>
          <w:p>
            <w:pPr>
              <w:spacing w:line="380" w:lineRule="exact"/>
              <w:rPr>
                <w:rFonts w:hAnsi="宋体"/>
                <w:sz w:val="24"/>
              </w:rPr>
            </w:pPr>
          </w:p>
        </w:tc>
        <w:tc>
          <w:tcPr>
            <w:tcW w:w="1585" w:type="dxa"/>
          </w:tcPr>
          <w:p>
            <w:pPr>
              <w:spacing w:line="380" w:lineRule="exact"/>
              <w:rPr>
                <w:rFonts w:hAnsi="宋体"/>
                <w:sz w:val="24"/>
              </w:rPr>
            </w:pPr>
          </w:p>
        </w:tc>
        <w:tc>
          <w:tcPr>
            <w:tcW w:w="1789" w:type="dxa"/>
          </w:tcPr>
          <w:p>
            <w:pPr>
              <w:spacing w:line="380" w:lineRule="exact"/>
              <w:rPr>
                <w:rFonts w:hAnsi="宋体"/>
                <w:sz w:val="24"/>
              </w:rPr>
            </w:pPr>
          </w:p>
        </w:tc>
        <w:tc>
          <w:tcPr>
            <w:tcW w:w="1516" w:type="dxa"/>
          </w:tcPr>
          <w:p>
            <w:pPr>
              <w:spacing w:line="380" w:lineRule="exact"/>
              <w:rPr>
                <w:rFonts w:hAnsi="宋体"/>
                <w:sz w:val="24"/>
              </w:rPr>
            </w:pPr>
          </w:p>
        </w:tc>
        <w:tc>
          <w:tcPr>
            <w:tcW w:w="1516" w:type="dxa"/>
          </w:tcPr>
          <w:p>
            <w:pPr>
              <w:spacing w:line="380" w:lineRule="exact"/>
              <w:rPr>
                <w:rFonts w:hAnsi="宋体"/>
                <w:sz w:val="24"/>
              </w:rPr>
            </w:pPr>
          </w:p>
        </w:tc>
      </w:tr>
    </w:tbl>
    <w:p>
      <w:pPr>
        <w:spacing w:line="380" w:lineRule="exact"/>
        <w:rPr>
          <w:rFonts w:hAnsi="宋体"/>
          <w:sz w:val="24"/>
        </w:rPr>
      </w:pPr>
    </w:p>
    <w:p>
      <w:pPr>
        <w:spacing w:line="380" w:lineRule="exact"/>
        <w:rPr>
          <w:rFonts w:hAnsi="宋体"/>
          <w:sz w:val="24"/>
        </w:rPr>
      </w:pPr>
      <w:r>
        <w:rPr>
          <w:rFonts w:hint="eastAsia" w:hAnsi="宋体"/>
          <w:sz w:val="24"/>
        </w:rPr>
        <w:t>注：响应人提交的响应文件中与招标文件的技术、商务部分的要求有不同时，应逐条列在偏离表中，否则将认为响应人接受招标文件的要求。</w:t>
      </w:r>
    </w:p>
    <w:p>
      <w:pPr>
        <w:spacing w:line="380" w:lineRule="exact"/>
        <w:rPr>
          <w:rFonts w:hAnsi="宋体"/>
          <w:sz w:val="24"/>
        </w:rPr>
      </w:pPr>
    </w:p>
    <w:p>
      <w:pPr>
        <w:spacing w:line="380" w:lineRule="exact"/>
        <w:rPr>
          <w:rFonts w:hAnsi="宋体"/>
          <w:sz w:val="24"/>
        </w:rPr>
      </w:pPr>
      <w:r>
        <w:rPr>
          <w:rFonts w:hint="eastAsia" w:hAnsi="宋体"/>
          <w:sz w:val="24"/>
          <w:szCs w:val="20"/>
        </w:rPr>
        <w:t>响应人代表签字：</w:t>
      </w:r>
      <w:r>
        <w:rPr>
          <w:rFonts w:hint="eastAsia" w:hAnsi="宋体"/>
          <w:sz w:val="24"/>
        </w:rPr>
        <w:t xml:space="preserve"> </w:t>
      </w:r>
      <w:r>
        <w:rPr>
          <w:rFonts w:hint="eastAsia" w:hAnsi="宋体"/>
          <w:sz w:val="24"/>
          <w:u w:val="single"/>
        </w:rPr>
        <w:t xml:space="preserve">           </w:t>
      </w:r>
    </w:p>
    <w:p>
      <w:pPr>
        <w:rPr>
          <w:rFonts w:ascii="仿宋_GB2312" w:hAnsi="宋体" w:eastAsia="仿宋_GB2312"/>
          <w:sz w:val="30"/>
          <w:szCs w:val="30"/>
        </w:rPr>
      </w:pPr>
    </w:p>
    <w:p>
      <w:pPr>
        <w:rPr>
          <w:rFonts w:ascii="仿宋_GB2312" w:hAnsi="宋体" w:eastAsia="仿宋_GB2312"/>
          <w:sz w:val="30"/>
          <w:szCs w:val="30"/>
        </w:rPr>
      </w:pPr>
    </w:p>
    <w:p>
      <w:pPr>
        <w:autoSpaceDE w:val="0"/>
        <w:autoSpaceDN w:val="0"/>
        <w:outlineLvl w:val="1"/>
        <w:rPr>
          <w:rFonts w:hAnsi="宋体" w:cs="宋体"/>
        </w:rPr>
      </w:pPr>
      <w:bookmarkStart w:id="94" w:name="_Toc13703"/>
      <w:bookmarkStart w:id="95" w:name="_Toc3037"/>
    </w:p>
    <w:p>
      <w:pPr>
        <w:autoSpaceDE w:val="0"/>
        <w:autoSpaceDN w:val="0"/>
        <w:outlineLvl w:val="1"/>
        <w:rPr>
          <w:rFonts w:hAnsi="宋体" w:cs="宋体"/>
        </w:rPr>
      </w:pPr>
    </w:p>
    <w:p>
      <w:pPr>
        <w:autoSpaceDE w:val="0"/>
        <w:autoSpaceDN w:val="0"/>
        <w:outlineLvl w:val="1"/>
        <w:rPr>
          <w:rFonts w:hAnsi="宋体" w:cs="宋体"/>
        </w:rPr>
      </w:pPr>
    </w:p>
    <w:p>
      <w:pPr>
        <w:pStyle w:val="24"/>
        <w:widowControl/>
        <w:ind w:firstLine="0" w:firstLineChars="0"/>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 响应人类似业绩情况表</w:t>
      </w:r>
      <w:bookmarkEnd w:id="94"/>
      <w:bookmarkEnd w:id="95"/>
    </w:p>
    <w:p>
      <w:pPr>
        <w:widowControl/>
        <w:jc w:val="center"/>
        <w:rPr>
          <w:rFonts w:hAnsi="宋体" w:cs="宋体"/>
          <w:b/>
          <w:bCs/>
          <w:sz w:val="24"/>
        </w:rPr>
      </w:pPr>
      <w:r>
        <w:rPr>
          <w:rFonts w:hint="eastAsia" w:hAnsi="宋体" w:cs="宋体"/>
          <w:b/>
          <w:bCs/>
          <w:sz w:val="24"/>
        </w:rPr>
        <w:t xml:space="preserve"> </w:t>
      </w:r>
    </w:p>
    <w:p>
      <w:pPr>
        <w:widowControl/>
        <w:jc w:val="center"/>
        <w:rPr>
          <w:rFonts w:hAnsi="宋体" w:cs="宋体"/>
          <w:b/>
          <w:bCs/>
          <w:sz w:val="32"/>
          <w:szCs w:val="32"/>
        </w:rPr>
      </w:pPr>
      <w:r>
        <w:rPr>
          <w:rFonts w:hint="eastAsia" w:hAnsi="宋体" w:cs="宋体"/>
          <w:b/>
          <w:bCs/>
          <w:sz w:val="32"/>
          <w:szCs w:val="32"/>
        </w:rPr>
        <w:t>响应人近三年类似业绩情况表</w:t>
      </w:r>
    </w:p>
    <w:tbl>
      <w:tblPr>
        <w:tblStyle w:val="14"/>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r>
              <w:rPr>
                <w:rFonts w:hint="eastAsia" w:hAnsi="宋体" w:cs="宋体"/>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项目</w:t>
            </w:r>
          </w:p>
          <w:p>
            <w:pPr>
              <w:widowControl/>
              <w:jc w:val="center"/>
              <w:rPr>
                <w:rFonts w:hAnsi="宋体" w:cs="宋体"/>
                <w:sz w:val="24"/>
              </w:rPr>
            </w:pPr>
            <w:r>
              <w:rPr>
                <w:rFonts w:hint="eastAsia" w:hAnsi="宋体" w:cs="宋体"/>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jc w:val="center"/>
              <w:rPr>
                <w:rFonts w:hAnsi="宋体" w:cs="宋体"/>
                <w:sz w:val="24"/>
              </w:rPr>
            </w:pPr>
            <w:r>
              <w:rPr>
                <w:rFonts w:hint="eastAsia" w:hAnsi="宋体" w:cs="宋体"/>
                <w:sz w:val="24"/>
              </w:rPr>
              <w:t>获奖</w:t>
            </w:r>
          </w:p>
          <w:p>
            <w:pPr>
              <w:widowControl/>
              <w:jc w:val="center"/>
              <w:rPr>
                <w:rFonts w:hAnsi="宋体" w:cs="宋体"/>
                <w:sz w:val="24"/>
              </w:rPr>
            </w:pPr>
            <w:r>
              <w:rPr>
                <w:rFonts w:hint="eastAsia" w:hAnsi="宋体" w:cs="宋体"/>
                <w:sz w:val="24"/>
              </w:rPr>
              <w:t>情况</w:t>
            </w: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r>
              <w:rPr>
                <w:rFonts w:hint="eastAsia" w:hAnsi="宋体" w:cs="宋体"/>
                <w:sz w:val="24"/>
              </w:rPr>
              <w:t>签约及服务</w:t>
            </w:r>
          </w:p>
          <w:p>
            <w:pPr>
              <w:widowControl/>
              <w:jc w:val="center"/>
              <w:rPr>
                <w:rFonts w:hAnsi="宋体" w:cs="宋体"/>
                <w:sz w:val="24"/>
              </w:rPr>
            </w:pPr>
            <w:r>
              <w:rPr>
                <w:rFonts w:hint="eastAsia" w:hAnsi="宋体" w:cs="宋体"/>
                <w:sz w:val="24"/>
              </w:rPr>
              <w:t>时间</w:t>
            </w: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r>
              <w:rPr>
                <w:rFonts w:hint="eastAsia" w:hAnsi="宋体" w:cs="宋体"/>
                <w:sz w:val="24"/>
              </w:rPr>
              <w:t>联系人及电话</w:t>
            </w: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r>
              <w:rPr>
                <w:rFonts w:hint="eastAsia" w:hAnsi="宋体" w:cs="宋体"/>
                <w:sz w:val="24"/>
              </w:rPr>
              <w:t>备注</w:t>
            </w: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ind w:firstLine="120"/>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tcPr>
          <w:p>
            <w:pPr>
              <w:widowControl/>
              <w:jc w:val="center"/>
              <w:rPr>
                <w:rFonts w:hAnsi="宋体" w:cs="宋体"/>
                <w:sz w:val="24"/>
              </w:rPr>
            </w:pPr>
          </w:p>
        </w:tc>
        <w:tc>
          <w:tcPr>
            <w:tcW w:w="1559"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418"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992"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0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517"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c>
          <w:tcPr>
            <w:tcW w:w="1134" w:type="dxa"/>
            <w:tcBorders>
              <w:top w:val="single" w:color="000000" w:sz="4" w:space="0"/>
              <w:left w:val="nil"/>
              <w:bottom w:val="single" w:color="000000" w:sz="4" w:space="0"/>
              <w:right w:val="single" w:color="000000" w:sz="4" w:space="0"/>
            </w:tcBorders>
          </w:tcPr>
          <w:p>
            <w:pPr>
              <w:widowControl/>
              <w:jc w:val="center"/>
              <w:rPr>
                <w:rFonts w:hAnsi="宋体" w:cs="宋体"/>
                <w:sz w:val="24"/>
              </w:rPr>
            </w:pPr>
          </w:p>
        </w:tc>
      </w:tr>
    </w:tbl>
    <w:p>
      <w:pPr>
        <w:widowControl/>
        <w:rPr>
          <w:rFonts w:hAnsi="宋体" w:cs="宋体"/>
          <w:b/>
          <w:bCs/>
          <w:sz w:val="24"/>
        </w:rPr>
      </w:pPr>
      <w:r>
        <w:rPr>
          <w:rFonts w:hint="eastAsia" w:hAnsi="宋体" w:cs="宋体"/>
          <w:b/>
          <w:bCs/>
          <w:sz w:val="24"/>
        </w:rPr>
        <w:t xml:space="preserve"> </w:t>
      </w:r>
    </w:p>
    <w:p>
      <w:pPr>
        <w:widowControl/>
        <w:rPr>
          <w:rFonts w:hAnsi="宋体" w:cs="宋体"/>
          <w:b/>
          <w:bCs/>
          <w:sz w:val="24"/>
        </w:rPr>
      </w:pPr>
      <w:r>
        <w:rPr>
          <w:rFonts w:hint="eastAsia" w:hAnsi="宋体" w:cs="宋体"/>
          <w:b/>
          <w:bCs/>
          <w:sz w:val="24"/>
        </w:rPr>
        <w:t>说明：请响应人根据本格式要求如实填写业绩情况表，并附业绩合同复印件与获奖证明。</w:t>
      </w:r>
    </w:p>
    <w:p>
      <w:pPr>
        <w:widowControl/>
        <w:rPr>
          <w:rFonts w:hAnsi="宋体" w:cs="宋体"/>
          <w:b/>
          <w:bCs/>
          <w:sz w:val="24"/>
        </w:rPr>
      </w:pPr>
      <w:r>
        <w:rPr>
          <w:rFonts w:hint="eastAsia" w:hAnsi="宋体" w:cs="宋体"/>
          <w:b/>
          <w:bCs/>
          <w:sz w:val="24"/>
        </w:rPr>
        <w:t>开标时请携带相应业绩合同原件备查。</w:t>
      </w:r>
    </w:p>
    <w:p>
      <w:pPr>
        <w:pStyle w:val="2"/>
        <w:rPr>
          <w:lang w:val="zh-CN"/>
        </w:rPr>
      </w:pPr>
    </w:p>
    <w:p>
      <w:pPr>
        <w:snapToGrid w:val="0"/>
        <w:spacing w:before="50" w:after="50"/>
        <w:rPr>
          <w:rFonts w:asciiTheme="minorEastAsia" w:hAnsiTheme="minorEastAsia" w:eastAsiaTheme="minorEastAsia"/>
          <w:b/>
          <w:sz w:val="30"/>
          <w:szCs w:val="30"/>
        </w:rPr>
      </w:pPr>
    </w:p>
    <w:p>
      <w:pPr>
        <w:snapToGrid w:val="0"/>
        <w:spacing w:before="50" w:after="50"/>
        <w:rPr>
          <w:rFonts w:asciiTheme="minorEastAsia" w:hAnsiTheme="minorEastAsia" w:eastAsiaTheme="minorEastAsia"/>
          <w:b/>
          <w:sz w:val="30"/>
          <w:szCs w:val="30"/>
        </w:rPr>
      </w:pPr>
    </w:p>
    <w:p>
      <w:pPr>
        <w:snapToGrid w:val="0"/>
        <w:spacing w:before="50" w:after="50"/>
        <w:rPr>
          <w:rFonts w:asciiTheme="minorEastAsia" w:hAnsiTheme="minorEastAsia" w:eastAsiaTheme="minorEastAsia"/>
          <w:b/>
          <w:sz w:val="30"/>
          <w:szCs w:val="30"/>
        </w:rPr>
      </w:pPr>
      <w:r>
        <w:rPr>
          <w:rFonts w:hint="eastAsia" w:asciiTheme="minorEastAsia" w:hAnsiTheme="minorEastAsia" w:eastAsiaTheme="minorEastAsia"/>
          <w:b/>
          <w:sz w:val="30"/>
          <w:szCs w:val="30"/>
        </w:rPr>
        <w:t>八、服务承诺函及其它证明文件及材料等（格式自拟）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九、中小企业声明函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6" w:name="_Toc351731637"/>
      <w:bookmarkStart w:id="97" w:name="_Toc465082424"/>
      <w:bookmarkStart w:id="98" w:name="_Toc464724913"/>
      <w:bookmarkStart w:id="99" w:name="_Toc264974219"/>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十一、法人或者其他组织的营业执照等证明文件，自然人的身份证明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6"/>
      <w:bookmarkEnd w:id="97"/>
      <w:bookmarkEnd w:id="98"/>
      <w:bookmarkEnd w:id="99"/>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响应截止时间前六个月内其基本开户银行出具的资信证明，或财政部门认可的政府采购专业担保机构出具的响应担保函。提供响应截止时间前六个月的缴纳增值税和企业所得税的凭据，或依法免税的证明文件。提供响应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6"/>
      </w:rPr>
    </w:pPr>
    <w:r>
      <w:rPr>
        <w:rStyle w:val="16"/>
      </w:rPr>
      <w:fldChar w:fldCharType="begin"/>
    </w:r>
    <w:r>
      <w:rPr>
        <w:rStyle w:val="16"/>
      </w:rPr>
      <w:instrText xml:space="preserve">PAGE  </w:instrText>
    </w:r>
    <w:r>
      <w:rPr>
        <w:rStyle w:val="16"/>
      </w:rPr>
      <w:fldChar w:fldCharType="separate"/>
    </w:r>
    <w:r>
      <w:rPr>
        <w:rStyle w:val="16"/>
      </w:rPr>
      <w:t>18</w:t>
    </w:r>
    <w:r>
      <w:rPr>
        <w:rStyle w:val="16"/>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0"/>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1"/>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20386C"/>
    <w:rsid w:val="00022C34"/>
    <w:rsid w:val="00023FFC"/>
    <w:rsid w:val="000577B7"/>
    <w:rsid w:val="000D645D"/>
    <w:rsid w:val="000E14C8"/>
    <w:rsid w:val="001818FA"/>
    <w:rsid w:val="001E04BD"/>
    <w:rsid w:val="00283737"/>
    <w:rsid w:val="002C25CB"/>
    <w:rsid w:val="003B50C1"/>
    <w:rsid w:val="003E68FA"/>
    <w:rsid w:val="004722BB"/>
    <w:rsid w:val="005736BC"/>
    <w:rsid w:val="00677AE1"/>
    <w:rsid w:val="007229CC"/>
    <w:rsid w:val="00732366"/>
    <w:rsid w:val="0074045B"/>
    <w:rsid w:val="00764B5C"/>
    <w:rsid w:val="00776B44"/>
    <w:rsid w:val="007979D5"/>
    <w:rsid w:val="007A3E59"/>
    <w:rsid w:val="008418AC"/>
    <w:rsid w:val="008645FE"/>
    <w:rsid w:val="00881AD4"/>
    <w:rsid w:val="0089007F"/>
    <w:rsid w:val="008C1953"/>
    <w:rsid w:val="00912C4F"/>
    <w:rsid w:val="009514EC"/>
    <w:rsid w:val="009649A5"/>
    <w:rsid w:val="00A20341"/>
    <w:rsid w:val="00A21187"/>
    <w:rsid w:val="00A47883"/>
    <w:rsid w:val="00A92104"/>
    <w:rsid w:val="00B0383B"/>
    <w:rsid w:val="00B2453A"/>
    <w:rsid w:val="00B278AE"/>
    <w:rsid w:val="00B41E6C"/>
    <w:rsid w:val="00B9629F"/>
    <w:rsid w:val="00BD2BF3"/>
    <w:rsid w:val="00BD4E84"/>
    <w:rsid w:val="00BE7B00"/>
    <w:rsid w:val="00C47474"/>
    <w:rsid w:val="00C73DA1"/>
    <w:rsid w:val="00C86E8C"/>
    <w:rsid w:val="00C919C3"/>
    <w:rsid w:val="00CB1A0C"/>
    <w:rsid w:val="00CC2515"/>
    <w:rsid w:val="00D033BC"/>
    <w:rsid w:val="00D348EE"/>
    <w:rsid w:val="00D40117"/>
    <w:rsid w:val="00D655E2"/>
    <w:rsid w:val="00E1235B"/>
    <w:rsid w:val="00E15E8F"/>
    <w:rsid w:val="00E57520"/>
    <w:rsid w:val="00EA3531"/>
    <w:rsid w:val="00F43CCF"/>
    <w:rsid w:val="00F45FCD"/>
    <w:rsid w:val="00F6350D"/>
    <w:rsid w:val="00F710D3"/>
    <w:rsid w:val="00F71460"/>
    <w:rsid w:val="00FC7119"/>
    <w:rsid w:val="01AD63F7"/>
    <w:rsid w:val="02E3414E"/>
    <w:rsid w:val="05547EF2"/>
    <w:rsid w:val="055D3862"/>
    <w:rsid w:val="05A80354"/>
    <w:rsid w:val="082A085F"/>
    <w:rsid w:val="0D206993"/>
    <w:rsid w:val="0F2954C2"/>
    <w:rsid w:val="10E02369"/>
    <w:rsid w:val="13765BE1"/>
    <w:rsid w:val="139448FB"/>
    <w:rsid w:val="15150FC3"/>
    <w:rsid w:val="177C42CC"/>
    <w:rsid w:val="18E67D5A"/>
    <w:rsid w:val="199E024F"/>
    <w:rsid w:val="1E2F0815"/>
    <w:rsid w:val="1E3C72FE"/>
    <w:rsid w:val="201C2A60"/>
    <w:rsid w:val="21365382"/>
    <w:rsid w:val="21F04025"/>
    <w:rsid w:val="23E541A3"/>
    <w:rsid w:val="262E3722"/>
    <w:rsid w:val="278A1943"/>
    <w:rsid w:val="28A1440C"/>
    <w:rsid w:val="28C6043E"/>
    <w:rsid w:val="2942005D"/>
    <w:rsid w:val="2AF672B7"/>
    <w:rsid w:val="2CE87CA2"/>
    <w:rsid w:val="2DFB34F3"/>
    <w:rsid w:val="31225F10"/>
    <w:rsid w:val="32A72D01"/>
    <w:rsid w:val="32D70A46"/>
    <w:rsid w:val="33932BE6"/>
    <w:rsid w:val="33A00773"/>
    <w:rsid w:val="33BC1180"/>
    <w:rsid w:val="34FD7862"/>
    <w:rsid w:val="353848F1"/>
    <w:rsid w:val="35F654F2"/>
    <w:rsid w:val="36B742F3"/>
    <w:rsid w:val="3783349B"/>
    <w:rsid w:val="37DB0A41"/>
    <w:rsid w:val="3910217E"/>
    <w:rsid w:val="39FB1D26"/>
    <w:rsid w:val="3A3003A1"/>
    <w:rsid w:val="3D2A1233"/>
    <w:rsid w:val="3FE605C6"/>
    <w:rsid w:val="40A2073D"/>
    <w:rsid w:val="42006AC6"/>
    <w:rsid w:val="44FA448C"/>
    <w:rsid w:val="45592C24"/>
    <w:rsid w:val="461C2DDF"/>
    <w:rsid w:val="4720386C"/>
    <w:rsid w:val="49655E8C"/>
    <w:rsid w:val="4A062164"/>
    <w:rsid w:val="4B087684"/>
    <w:rsid w:val="4BB5371F"/>
    <w:rsid w:val="4BC44E38"/>
    <w:rsid w:val="4DAA66B9"/>
    <w:rsid w:val="4DC05613"/>
    <w:rsid w:val="4FF7030B"/>
    <w:rsid w:val="5020390E"/>
    <w:rsid w:val="50C14D82"/>
    <w:rsid w:val="54383383"/>
    <w:rsid w:val="54860917"/>
    <w:rsid w:val="555039D2"/>
    <w:rsid w:val="55570EFF"/>
    <w:rsid w:val="564B4A20"/>
    <w:rsid w:val="56A0323C"/>
    <w:rsid w:val="56F12796"/>
    <w:rsid w:val="59372531"/>
    <w:rsid w:val="5A2027F8"/>
    <w:rsid w:val="5B3311C3"/>
    <w:rsid w:val="63033838"/>
    <w:rsid w:val="65EB75D2"/>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47F2934"/>
    <w:rsid w:val="783A485F"/>
    <w:rsid w:val="783B34E0"/>
    <w:rsid w:val="78F67F05"/>
    <w:rsid w:val="7CA94E00"/>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2">
    <w:name w:val="heading 4"/>
    <w:basedOn w:val="1"/>
    <w:next w:val="1"/>
    <w:qFormat/>
    <w:uiPriority w:val="0"/>
    <w:pPr>
      <w:keepNext/>
      <w:keepLines/>
      <w:spacing w:before="120" w:after="120"/>
      <w:outlineLvl w:val="3"/>
    </w:pPr>
    <w:rPr>
      <w:rFonts w:ascii="Arial" w:hAnsi="Arial" w:eastAsia="黑体"/>
      <w:b/>
      <w:szCs w:val="20"/>
    </w:rPr>
  </w:style>
  <w:style w:type="character" w:default="1" w:styleId="15">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7"/>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6"/>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page number"/>
    <w:basedOn w:val="15"/>
    <w:qFormat/>
    <w:uiPriority w:val="0"/>
  </w:style>
  <w:style w:type="character" w:styleId="17">
    <w:name w:val="Emphasis"/>
    <w:qFormat/>
    <w:uiPriority w:val="0"/>
    <w:rPr>
      <w:i/>
      <w:iCs/>
    </w:rPr>
  </w:style>
  <w:style w:type="character" w:styleId="18">
    <w:name w:val="Hyperlink"/>
    <w:basedOn w:val="15"/>
    <w:qFormat/>
    <w:uiPriority w:val="0"/>
    <w:rPr>
      <w:color w:val="3F88BF"/>
      <w:u w:val="none"/>
    </w:rPr>
  </w:style>
  <w:style w:type="paragraph" w:customStyle="1" w:styleId="19">
    <w:name w:val="普通正文"/>
    <w:basedOn w:val="1"/>
    <w:qFormat/>
    <w:uiPriority w:val="0"/>
    <w:pPr>
      <w:spacing w:before="120" w:after="120"/>
      <w:ind w:firstLine="480"/>
      <w:jc w:val="left"/>
    </w:pPr>
    <w:rPr>
      <w:rFonts w:ascii="Arial" w:hAnsi="Arial" w:eastAsia="宋体"/>
      <w:szCs w:val="24"/>
    </w:rPr>
  </w:style>
  <w:style w:type="paragraph" w:customStyle="1" w:styleId="20">
    <w:name w:val="正文 1.1"/>
    <w:basedOn w:val="1"/>
    <w:next w:val="21"/>
    <w:qFormat/>
    <w:uiPriority w:val="0"/>
    <w:pPr>
      <w:numPr>
        <w:ilvl w:val="1"/>
        <w:numId w:val="2"/>
      </w:numPr>
      <w:ind w:left="980" w:hanging="980" w:hangingChars="350"/>
      <w:outlineLvl w:val="1"/>
    </w:pPr>
    <w:rPr>
      <w:rFonts w:ascii="仿宋" w:hAnsi="仿宋"/>
      <w:b/>
    </w:rPr>
  </w:style>
  <w:style w:type="paragraph" w:customStyle="1" w:styleId="21">
    <w:name w:val="正文 1.1.1"/>
    <w:basedOn w:val="1"/>
    <w:next w:val="1"/>
    <w:qFormat/>
    <w:uiPriority w:val="0"/>
    <w:pPr>
      <w:numPr>
        <w:ilvl w:val="2"/>
        <w:numId w:val="2"/>
      </w:numPr>
      <w:outlineLvl w:val="2"/>
    </w:pPr>
    <w:rPr>
      <w:rFonts w:hAnsi="宋体" w:eastAsia="宋体"/>
      <w:color w:val="FF0000"/>
    </w:rPr>
  </w:style>
  <w:style w:type="paragraph" w:customStyle="1" w:styleId="22">
    <w:name w:val="正文空2格  1."/>
    <w:basedOn w:val="1"/>
    <w:qFormat/>
    <w:uiPriority w:val="0"/>
    <w:pPr>
      <w:ind w:firstLine="480" w:firstLineChars="200"/>
    </w:pPr>
    <w:rPr>
      <w:rFonts w:cs="宋体"/>
      <w:szCs w:val="20"/>
    </w:rPr>
  </w:style>
  <w:style w:type="character" w:customStyle="1" w:styleId="23">
    <w:name w:val="正文 第五章 中间"/>
    <w:qFormat/>
    <w:uiPriority w:val="0"/>
    <w:rPr>
      <w:b/>
      <w:bCs/>
      <w:color w:val="000000"/>
      <w:sz w:val="32"/>
    </w:rPr>
  </w:style>
  <w:style w:type="paragraph" w:customStyle="1" w:styleId="24">
    <w:name w:val="列出段落1"/>
    <w:basedOn w:val="1"/>
    <w:unhideWhenUsed/>
    <w:qFormat/>
    <w:uiPriority w:val="99"/>
    <w:pPr>
      <w:ind w:firstLine="420" w:firstLineChars="200"/>
    </w:pPr>
  </w:style>
  <w:style w:type="paragraph" w:customStyle="1" w:styleId="25">
    <w:name w:val="reader-word-layer"/>
    <w:basedOn w:val="1"/>
    <w:qFormat/>
    <w:uiPriority w:val="0"/>
    <w:pPr>
      <w:widowControl/>
      <w:spacing w:before="100" w:beforeAutospacing="1" w:after="100" w:afterAutospacing="1"/>
      <w:jc w:val="left"/>
    </w:pPr>
    <w:rPr>
      <w:rFonts w:hAnsi="宋体" w:cs="宋体"/>
      <w:sz w:val="24"/>
    </w:rPr>
  </w:style>
  <w:style w:type="character" w:customStyle="1" w:styleId="26">
    <w:name w:val="页眉 Char"/>
    <w:basedOn w:val="15"/>
    <w:link w:val="10"/>
    <w:qFormat/>
    <w:uiPriority w:val="0"/>
    <w:rPr>
      <w:rFonts w:ascii="宋体" w:eastAsia="仿宋"/>
      <w:sz w:val="18"/>
      <w:szCs w:val="18"/>
    </w:rPr>
  </w:style>
  <w:style w:type="character" w:customStyle="1" w:styleId="27">
    <w:name w:val="纯文本 Char"/>
    <w:basedOn w:val="15"/>
    <w:link w:val="7"/>
    <w:qFormat/>
    <w:uiPriority w:val="0"/>
    <w:rPr>
      <w:rFonts w:ascii="宋体" w:hAnsi="Courier New" w:eastAsia="仿宋"/>
      <w:sz w:val="21"/>
      <w:szCs w:val="21"/>
    </w:rPr>
  </w:style>
  <w:style w:type="paragraph" w:styleId="28">
    <w:name w:val="List Paragraph"/>
    <w:basedOn w:val="1"/>
    <w:qFormat/>
    <w:uiPriority w:val="0"/>
    <w:pPr>
      <w:ind w:firstLine="420" w:firstLineChars="200"/>
    </w:pPr>
    <w:rPr>
      <w:rFonts w:ascii="Calibri" w:hAnsi="Calibri"/>
      <w:szCs w:val="22"/>
    </w:rPr>
  </w:style>
  <w:style w:type="paragraph" w:customStyle="1" w:styleId="29">
    <w:name w:val="首行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36</Pages>
  <Words>3021</Words>
  <Characters>17225</Characters>
  <Lines>143</Lines>
  <Paragraphs>40</Paragraphs>
  <TotalTime>1</TotalTime>
  <ScaleCrop>false</ScaleCrop>
  <LinksUpToDate>false</LinksUpToDate>
  <CharactersWithSpaces>20206</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2019-09-18T07:35:32Z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