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52"/>
          <w:szCs w:val="52"/>
        </w:rPr>
      </w:pPr>
      <w:bookmarkStart w:id="0" w:name="_Toc342241484"/>
      <w:bookmarkStart w:id="1" w:name="_Toc341992627"/>
      <w:bookmarkStart w:id="2" w:name="_Toc341993112"/>
      <w:bookmarkStart w:id="3" w:name="_Toc341993786"/>
      <w:bookmarkStart w:id="4" w:name="_Toc341988481"/>
      <w:bookmarkStart w:id="5" w:name="_Toc337620797"/>
      <w:bookmarkStart w:id="6" w:name="_Toc341991041"/>
      <w:bookmarkStart w:id="7" w:name="_Toc337622980"/>
      <w:bookmarkStart w:id="8" w:name="_Toc341992707"/>
      <w:bookmarkStart w:id="9" w:name="_Toc342252860"/>
      <w:r>
        <w:rPr>
          <w:rFonts w:hint="eastAsia" w:asciiTheme="minorEastAsia" w:hAnsiTheme="minorEastAsia" w:eastAsiaTheme="minorEastAsia"/>
          <w:b/>
          <w:bCs/>
          <w:sz w:val="52"/>
          <w:szCs w:val="52"/>
        </w:rPr>
        <w:t>南京交通职业技术学院中心变电所配电房至食堂配电房电缆双拼及一、二食堂电缆改接工程项目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154</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bookmarkStart w:id="11" w:name="_Toc513029200"/>
      <w:bookmarkStart w:id="12" w:name="_Toc403986986"/>
      <w:bookmarkStart w:id="13" w:name="_Toc403987193"/>
      <w:bookmarkStart w:id="14" w:name="_Toc120614210"/>
      <w:bookmarkStart w:id="15" w:name="_Toc523127445"/>
      <w:bookmarkStart w:id="16" w:name="_Toc16938516"/>
      <w:bookmarkStart w:id="17" w:name="_Toc479757206"/>
      <w:bookmarkStart w:id="18" w:name="_Toc20823272"/>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_Toc120614281"/>
      <w:bookmarkStart w:id="21" w:name="_Toc26554093"/>
      <w:bookmarkStart w:id="22" w:name="_Toc49090575"/>
      <w:bookmarkStart w:id="23" w:name="OLE_LINK2"/>
      <w:bookmarkStart w:id="24" w:name="OLE_LINK1"/>
      <w:bookmarkStart w:id="25" w:name="_Toc479757211"/>
      <w:bookmarkStart w:id="26" w:name="_Toc462564139"/>
      <w:bookmarkStart w:id="27" w:name="_Toc337622640"/>
      <w:bookmarkStart w:id="28" w:name="_Toc365619242"/>
      <w:bookmarkStart w:id="29" w:name="_Toc337584958"/>
      <w:bookmarkStart w:id="30" w:name="_Toc342241487"/>
      <w:bookmarkStart w:id="31" w:name="_Toc337620620"/>
      <w:bookmarkStart w:id="32" w:name="_Toc341992630"/>
      <w:bookmarkStart w:id="33" w:name="_Toc337622590"/>
      <w:bookmarkStart w:id="34" w:name="_Toc341988484"/>
      <w:bookmarkStart w:id="35" w:name="_Toc403560410"/>
      <w:bookmarkStart w:id="36" w:name="_Toc373781378"/>
      <w:bookmarkStart w:id="37" w:name="_Toc337622251"/>
      <w:bookmarkStart w:id="38" w:name="_Ref352791871"/>
      <w:bookmarkStart w:id="39" w:name="_Toc341991044"/>
      <w:bookmarkStart w:id="40" w:name="_Toc366517151"/>
      <w:bookmarkStart w:id="41" w:name="_Toc337622372"/>
      <w:bookmarkStart w:id="42" w:name="_Toc342558384"/>
      <w:bookmarkStart w:id="43" w:name="_Toc342497332"/>
      <w:bookmarkStart w:id="44" w:name="_Toc341992710"/>
      <w:bookmarkStart w:id="45" w:name="_Toc337620692"/>
      <w:bookmarkStart w:id="46" w:name="_Toc337622690"/>
      <w:bookmarkStart w:id="47" w:name="_Toc337622790"/>
      <w:bookmarkStart w:id="48" w:name="_Toc341993114"/>
      <w:bookmarkStart w:id="49" w:name="_Toc337584877"/>
      <w:bookmarkStart w:id="50" w:name="_Toc342252863"/>
      <w:bookmarkStart w:id="51" w:name="_Toc337622983"/>
      <w:bookmarkStart w:id="52" w:name="_Toc342374716"/>
      <w:bookmarkStart w:id="53" w:name="_Toc341993788"/>
      <w:bookmarkStart w:id="54" w:name="_Toc337620800"/>
      <w:bookmarkStart w:id="55" w:name="_Toc337622278"/>
      <w:bookmarkStart w:id="56" w:name="_Toc337584644"/>
      <w:bookmarkStart w:id="57" w:name="_Toc403401434"/>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w:t>
      </w:r>
      <w:r>
        <w:rPr>
          <w:rFonts w:hint="eastAsia" w:asciiTheme="minorEastAsia" w:hAnsiTheme="minorEastAsia" w:eastAsiaTheme="minorEastAsia" w:cstheme="minorEastAsia"/>
          <w:kern w:val="2"/>
          <w:sz w:val="21"/>
          <w:lang w:val="en-US" w:eastAsia="zh-CN"/>
        </w:rPr>
        <w:t>处（基建办）</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其学院中心变电所配电房至食堂配电房电缆双拼及一、二食堂电缆改接工程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项目名称：南京交通职业技术学院中心变电所配电房至食堂配电房电缆双拼及一、二食堂电缆改接工程项目</w:t>
      </w:r>
    </w:p>
    <w:p>
      <w:pPr>
        <w:pStyle w:val="19"/>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154</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hAnsi="宋体" w:eastAsia="宋体" w:cs="宋体"/>
          <w:spacing w:val="9"/>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南京交通职业技术学院中心变电所配电房至食堂配电房电缆双拼及一、二食堂电缆改接工程项目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年度江苏省省级机关、事业单位限额内工程定点采购分包一、分包二成交单位。</w:t>
      </w:r>
    </w:p>
    <w:p>
      <w:pPr>
        <w:ind w:firstLine="420" w:firstLineChars="200"/>
        <w:rPr>
          <w:rFonts w:hint="eastAsia"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3.3 拒绝下述供应商参加本次采购活动：</w:t>
      </w:r>
    </w:p>
    <w:p>
      <w:pPr>
        <w:ind w:firstLine="420" w:firstLineChars="200"/>
        <w:rPr>
          <w:rFonts w:hint="eastAsia"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（1）供应商单位负责人为同一人或者存在直接控股、管理关系的不同供应商，不得参加同一合同项下的政府采购活动。</w:t>
      </w:r>
    </w:p>
    <w:p>
      <w:pPr>
        <w:ind w:firstLine="210" w:firstLineChars="100"/>
        <w:rPr>
          <w:rFonts w:asciiTheme="minorEastAsia" w:hAnsiTheme="minorEastAsia" w:eastAsiaTheme="minorEastAsia"/>
          <w:color w:val="000000"/>
          <w:sz w:val="21"/>
        </w:rPr>
      </w:pPr>
      <w:r>
        <w:rPr>
          <w:rFonts w:hint="eastAsia" w:asciiTheme="minorEastAsia" w:hAnsiTheme="minorEastAsia" w:eastAsiaTheme="minorEastAsia" w:cstheme="minorEastAsia"/>
          <w:bCs/>
          <w:snapToGrid w:val="0"/>
          <w:sz w:val="21"/>
        </w:rPr>
        <w:t>（2）凡为采购项目提供整体设计、规范编制或者项目管理、监理、检测等服务的供应商，不</w:t>
      </w:r>
      <w:r>
        <w:rPr>
          <w:rFonts w:hint="eastAsia" w:asciiTheme="minorEastAsia" w:hAnsiTheme="minorEastAsia" w:eastAsiaTheme="minorEastAsia"/>
          <w:color w:val="000000"/>
          <w:sz w:val="21"/>
        </w:rPr>
        <w:t>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w:t>
      </w:r>
      <w:r>
        <w:rPr>
          <w:rFonts w:hint="eastAsia" w:asciiTheme="minorEastAsia" w:hAnsiTheme="minorEastAsia" w:eastAsiaTheme="minorEastAsia" w:cstheme="minorEastAsia"/>
          <w:sz w:val="21"/>
          <w:szCs w:val="21"/>
          <w:lang w:val="en-US" w:eastAsia="zh-CN"/>
        </w:rPr>
        <w:t>响应</w:t>
      </w:r>
      <w:r>
        <w:rPr>
          <w:rFonts w:hint="eastAsia" w:asciiTheme="minorEastAsia" w:hAnsiTheme="minorEastAsia" w:eastAsiaTheme="minorEastAsia" w:cstheme="minorEastAsia"/>
          <w:sz w:val="21"/>
          <w:szCs w:val="21"/>
        </w:rPr>
        <w:t>文件壹份（一般应为PDF格式、U盘形式，随纸质正本文件一并提交）。当纸质正本文件与副本、电子版文件不一致时，以纸质正本文件为准。电子版文件用于存档，供应商须承担前述不一致造成的不利后果。</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w:t>
      </w:r>
      <w:bookmarkStart w:id="94" w:name="_GoBack"/>
      <w:bookmarkEnd w:id="94"/>
      <w:r>
        <w:rPr>
          <w:rFonts w:hint="eastAsia" w:asciiTheme="minorEastAsia" w:hAnsiTheme="minorEastAsia" w:eastAsiaTheme="minorEastAsia"/>
          <w:sz w:val="21"/>
          <w:lang w:val="zh-CN"/>
        </w:rPr>
        <w:t>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壹万叁</w:t>
      </w:r>
      <w:r>
        <w:rPr>
          <w:rFonts w:hint="eastAsia" w:asciiTheme="minorEastAsia" w:hAnsiTheme="minorEastAsia" w:eastAsiaTheme="minorEastAsia" w:cstheme="minorEastAsia"/>
          <w:b w:val="0"/>
          <w:bCs/>
          <w:sz w:val="21"/>
        </w:rPr>
        <w:t>仟圆整 (现金</w:t>
      </w:r>
      <w:r>
        <w:rPr>
          <w:rFonts w:hint="eastAsia" w:asciiTheme="minorEastAsia" w:hAnsiTheme="minorEastAsia" w:eastAsiaTheme="minorEastAsia" w:cstheme="minorEastAsia"/>
          <w:b w:val="0"/>
          <w:bCs/>
          <w:sz w:val="21"/>
          <w:lang w:val="en-US" w:eastAsia="zh-CN"/>
        </w:rPr>
        <w:t>密封完好，现场递交</w:t>
      </w:r>
      <w:r>
        <w:rPr>
          <w:rFonts w:hint="eastAsia" w:asciiTheme="minorEastAsia" w:hAnsiTheme="minorEastAsia" w:eastAsiaTheme="minorEastAsia" w:cstheme="minorEastAsia"/>
          <w:b w:val="0"/>
          <w:bCs/>
          <w:sz w:val="21"/>
        </w:rPr>
        <w:t>)， 成交后转为履约保证金（履约保证金不足部分按合同规定金额补齐）。</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现场自行勘探。 采购单位联系人：</w:t>
      </w:r>
      <w:r>
        <w:rPr>
          <w:rFonts w:hint="eastAsia" w:asciiTheme="minorEastAsia" w:hAnsiTheme="minorEastAsia" w:eastAsiaTheme="minorEastAsia" w:cstheme="minorEastAsia"/>
          <w:b w:val="0"/>
          <w:bCs/>
          <w:sz w:val="21"/>
          <w:lang w:val="en-US" w:eastAsia="zh-CN"/>
        </w:rPr>
        <w:t>徐</w:t>
      </w:r>
      <w:r>
        <w:rPr>
          <w:rFonts w:hint="eastAsia" w:asciiTheme="minorEastAsia" w:hAnsiTheme="minorEastAsia" w:eastAsiaTheme="minorEastAsia" w:cstheme="minorEastAsia"/>
          <w:b w:val="0"/>
          <w:bCs/>
          <w:sz w:val="21"/>
        </w:rPr>
        <w:t>老师     联系电话：025—86115</w:t>
      </w:r>
      <w:r>
        <w:rPr>
          <w:rFonts w:hint="eastAsia" w:asciiTheme="minorEastAsia" w:hAnsiTheme="minorEastAsia" w:eastAsiaTheme="minorEastAsia" w:cstheme="minorEastAsia"/>
          <w:b w:val="0"/>
          <w:bCs/>
          <w:sz w:val="21"/>
          <w:lang w:val="en-US" w:eastAsia="zh-CN"/>
        </w:rPr>
        <w:t>863</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513029237"/>
      <w:bookmarkStart w:id="68" w:name="_Toc20823309"/>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569"/>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818" w:type="dxa"/>
            <w:vAlign w:val="center"/>
          </w:tcPr>
          <w:p>
            <w:pPr>
              <w:adjustRightInd/>
              <w:jc w:val="left"/>
              <w:textAlignment w:val="auto"/>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569"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年1月1日起，供应商具有类似项目的成功案例（需提供发票，发票内容清晰可见），有1个得1分，满分5分。</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81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6"/>
          <w:rFonts w:hint="eastAsia" w:cs="Arial" w:asciiTheme="minorEastAsia" w:hAnsiTheme="minorEastAsia" w:eastAsiaTheme="minorEastAsia"/>
          <w:i w:val="0"/>
          <w:iCs w:val="0"/>
          <w:sz w:val="21"/>
          <w:shd w:val="clear" w:color="auto" w:fill="FFFFFF"/>
        </w:rPr>
        <w:t>采购人</w:t>
      </w:r>
      <w:r>
        <w:rPr>
          <w:rStyle w:val="16"/>
          <w:rFonts w:cs="Arial" w:asciiTheme="minorEastAsia" w:hAnsiTheme="minorEastAsia" w:eastAsiaTheme="minorEastAsia"/>
          <w:i w:val="0"/>
          <w:iCs w:val="0"/>
          <w:sz w:val="21"/>
          <w:shd w:val="clear" w:color="auto" w:fill="FFFFFF"/>
        </w:rPr>
        <w:t>有权在</w:t>
      </w:r>
      <w:r>
        <w:rPr>
          <w:rStyle w:val="16"/>
          <w:rFonts w:hint="eastAsia" w:cs="Arial" w:asciiTheme="minorEastAsia" w:hAnsiTheme="minorEastAsia" w:eastAsiaTheme="minorEastAsia"/>
          <w:i w:val="0"/>
          <w:iCs w:val="0"/>
          <w:sz w:val="21"/>
          <w:shd w:val="clear" w:color="auto" w:fill="FFFFFF"/>
        </w:rPr>
        <w:t>磋商</w:t>
      </w:r>
      <w:r>
        <w:rPr>
          <w:rStyle w:val="16"/>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hint="eastAsia" w:asciiTheme="minorEastAsia" w:hAnsiTheme="minorEastAsia" w:eastAsiaTheme="minorEastAsia" w:cstheme="majorEastAsia"/>
          <w:sz w:val="36"/>
          <w:szCs w:val="36"/>
        </w:rPr>
      </w:pPr>
      <w:bookmarkStart w:id="82" w:name="_Toc16941"/>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ind w:firstLine="480" w:firstLineChars="200"/>
        <w:rPr>
          <w:rFonts w:hint="eastAsia" w:asciiTheme="minorEastAsia" w:hAnsiTheme="minorEastAsia" w:eastAsiaTheme="minorEastAsia"/>
          <w:bCs/>
          <w:sz w:val="24"/>
          <w:szCs w:val="24"/>
        </w:rPr>
      </w:pPr>
      <w:bookmarkStart w:id="83" w:name="_Toc403987220"/>
      <w:r>
        <w:rPr>
          <w:rFonts w:hint="eastAsia" w:asciiTheme="minorEastAsia" w:hAnsiTheme="minorEastAsia" w:eastAsiaTheme="minorEastAsia"/>
          <w:bCs/>
          <w:sz w:val="24"/>
          <w:szCs w:val="24"/>
        </w:rPr>
        <w:t>一、项目名称：学院中心变电所配电房至食堂配电房电缆双拼及一、二食堂电缆改接工程</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二、项目控制价：人民币66.9万。</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三、项目内容：学院中心变电所配电房至食堂配电房电缆双拼及一、二食堂电缆改接工程（清单见附件）。</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四、响应商资格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val="en-US" w:eastAsia="zh-CN"/>
        </w:rPr>
        <w:t>2019-2020</w:t>
      </w:r>
      <w:r>
        <w:rPr>
          <w:rFonts w:hint="eastAsia" w:asciiTheme="minorEastAsia" w:hAnsiTheme="minorEastAsia" w:eastAsiaTheme="minorEastAsia"/>
          <w:bCs/>
          <w:sz w:val="24"/>
          <w:szCs w:val="24"/>
        </w:rPr>
        <w:t>江苏省省级机关、事业单位限额内工程定点采购分包一、分包二成交单位。</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五、响应说明及要求（第3、4条必须在响应文件中做出书面承诺）</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响应商在认真阅读询价文件后须撰写服务承诺书并提供以下证明及资料：</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1、法定代表人身份证明和法定代表人对业务代表的正式授权书（一个单位不得委托多人代理，一人不得代理多个单位，否则响应无效）；</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3、成交人需承诺其承担的工程项目在合同期内全部验收合格。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4、成交人需承诺不得将成交项目转包及其它违规行为，一经发现立即取消定点施工资格，并按相关法律法规上报处理。</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6、响应商根据项目情况，客观报价，如发现恶意报价行为，作废标处理。</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7、磋商保证金1.3万元，成交后转为履约保证金。</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8、单项工程前期技术服务费用2900元（控制价及招标工程量清单编制费2900元）,由中标单位支付给咨询公司，支付时间为中标后7个工作日内，开工前提供付款凭证给校方。</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9、单项工程提供详细施工技术方案及未来清单报价表（含综合单价分析表等），并附光盘。</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六、材质及质量要求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主材必须严格选用优质、环保、无腐蚀性产品，材料进场提供产品合格证并办理材料报验手续；施工规范符合现行国家规范；工程质量要求为：合格。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主要材料品牌及样品提供要求：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1.电力电缆品牌：宝胜、江南、上上等同档次或高于此档次产品；（样品：投标时提供小样）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七、工期要求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7日历日。开工日期以甲方通知为准。施工现场要保证不影响正常教学和办公。</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八、施工管理要求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2、主材检测：业主可随时对工程主要材料选择送检，检测费用包含在响应价内，如发现以次充好或不合格材料，除及时更换合格产品外，每发现一处扣罚款2000元。</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3、主要材料进场须经业主确认。</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4、图纸设计若有不符合现行规范、规定、标准等或其他不到位之处，施工单位必须提出，待业主确认后再施工，否则因此造成的质量事故由施工单位承担。</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5、隐蔽工程或部位必须报甲方同意后，方可进入下一步工序并自行留存相关资料，否则结算不予承认。</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6、施工管理中，未按规定要求（安全文明施工、质量标准等方面）进行施工、管理的，罚款300-500元/次。</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7、单项工程提供详细施工技术方案及未来清单报价表（含综合单价分析表等），并附光盘。</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九、响应报价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十、付款方式</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竣工并通过验收，付至合同价的60%；审计完毕付至审核结算价（全额发票）的95%；质保期满后无质量缺陷将5%尾款一次性免息支付。</w:t>
      </w:r>
    </w:p>
    <w:p>
      <w:pPr>
        <w:widowControl/>
        <w:ind w:firstLine="480" w:firstLineChars="200"/>
        <w:rPr>
          <w:rFonts w:hint="eastAsia"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26554094"/>
      <w:bookmarkStart w:id="88" w:name="_Toc49090576"/>
      <w:bookmarkStart w:id="89" w:name="_Toc120614282"/>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3"/>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468"/>
        <w:gridCol w:w="161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468"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61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468"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619"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468"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468"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468"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468"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468"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468"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6</w:t>
            </w:r>
            <w:r>
              <w:rPr>
                <w:rFonts w:hint="eastAsia" w:cs="宋体" w:asciiTheme="minorEastAsia" w:hAnsiTheme="minorEastAsia" w:eastAsiaTheme="minorEastAsia"/>
                <w:sz w:val="21"/>
              </w:rPr>
              <w:t>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3"/>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2"/>
          <w:rFonts w:hint="eastAsia" w:asciiTheme="minorEastAsia" w:hAnsiTheme="minorEastAsia" w:eastAsiaTheme="minorEastAsia"/>
          <w:color w:val="auto"/>
          <w:sz w:val="30"/>
          <w:szCs w:val="30"/>
        </w:rPr>
      </w:pPr>
    </w:p>
    <w:p>
      <w:pPr>
        <w:jc w:val="both"/>
        <w:rPr>
          <w:rStyle w:val="22"/>
          <w:rFonts w:hint="eastAsia" w:asciiTheme="minorEastAsia" w:hAnsiTheme="minorEastAsia" w:eastAsiaTheme="minorEastAsia"/>
          <w:color w:val="auto"/>
          <w:sz w:val="30"/>
          <w:szCs w:val="30"/>
        </w:rPr>
      </w:pPr>
      <w:r>
        <w:rPr>
          <w:rStyle w:val="22"/>
          <w:rFonts w:hint="eastAsia" w:asciiTheme="minorEastAsia" w:hAnsiTheme="minorEastAsia" w:eastAsiaTheme="minorEastAsia"/>
          <w:color w:val="auto"/>
          <w:sz w:val="30"/>
          <w:szCs w:val="30"/>
          <w:lang w:val="en-US" w:eastAsia="zh-CN"/>
        </w:rPr>
        <w:t>注：</w:t>
      </w:r>
      <w:r>
        <w:rPr>
          <w:rStyle w:val="22"/>
          <w:rFonts w:hint="eastAsia" w:asciiTheme="minorEastAsia" w:hAnsiTheme="minorEastAsia" w:eastAsiaTheme="minorEastAsia"/>
          <w:color w:val="auto"/>
          <w:sz w:val="30"/>
          <w:szCs w:val="30"/>
        </w:rPr>
        <w:t>报价附未来软件综合分析表，否则视为无效报价。</w:t>
      </w: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3"/>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3"/>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264974219"/>
      <w:bookmarkStart w:id="91" w:name="_Toc465082424"/>
      <w:bookmarkStart w:id="92" w:name="_Toc464724913"/>
      <w:bookmarkStart w:id="93" w:name="_Toc351731637"/>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5"/>
      </w:rPr>
    </w:pPr>
    <w:r>
      <w:rPr>
        <w:rStyle w:val="15"/>
      </w:rPr>
      <w:fldChar w:fldCharType="begin"/>
    </w:r>
    <w:r>
      <w:rPr>
        <w:rStyle w:val="15"/>
      </w:rPr>
      <w:instrText xml:space="preserve">PAGE  </w:instrText>
    </w:r>
    <w:r>
      <w:rPr>
        <w:rStyle w:val="15"/>
      </w:rPr>
      <w:fldChar w:fldCharType="separate"/>
    </w:r>
    <w:r>
      <w:rPr>
        <w:rStyle w:val="15"/>
      </w:rPr>
      <w:t>29</w:t>
    </w:r>
    <w:r>
      <w:rPr>
        <w:rStyle w:val="15"/>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39448FB"/>
    <w:rsid w:val="15150FC3"/>
    <w:rsid w:val="177C42CC"/>
    <w:rsid w:val="18E67D5A"/>
    <w:rsid w:val="199E024F"/>
    <w:rsid w:val="1E2F0815"/>
    <w:rsid w:val="1E3C72FE"/>
    <w:rsid w:val="201C2A60"/>
    <w:rsid w:val="21365382"/>
    <w:rsid w:val="21F04025"/>
    <w:rsid w:val="23E541A3"/>
    <w:rsid w:val="262E3722"/>
    <w:rsid w:val="278A1943"/>
    <w:rsid w:val="28A1440C"/>
    <w:rsid w:val="28C6043E"/>
    <w:rsid w:val="2CE87CA2"/>
    <w:rsid w:val="2DFB34F3"/>
    <w:rsid w:val="31225F10"/>
    <w:rsid w:val="33932BE6"/>
    <w:rsid w:val="33A00773"/>
    <w:rsid w:val="33BC1180"/>
    <w:rsid w:val="34FD7862"/>
    <w:rsid w:val="353848F1"/>
    <w:rsid w:val="35F654F2"/>
    <w:rsid w:val="36B742F3"/>
    <w:rsid w:val="37DB0A41"/>
    <w:rsid w:val="3910217E"/>
    <w:rsid w:val="39FB1D26"/>
    <w:rsid w:val="3A3003A1"/>
    <w:rsid w:val="3F081054"/>
    <w:rsid w:val="3F9C68B9"/>
    <w:rsid w:val="42006AC6"/>
    <w:rsid w:val="44FA448C"/>
    <w:rsid w:val="4720386C"/>
    <w:rsid w:val="49655E8C"/>
    <w:rsid w:val="4A062164"/>
    <w:rsid w:val="4BB5371F"/>
    <w:rsid w:val="4BC44E38"/>
    <w:rsid w:val="4DAA66B9"/>
    <w:rsid w:val="4FF7030B"/>
    <w:rsid w:val="5020390E"/>
    <w:rsid w:val="50C14D82"/>
    <w:rsid w:val="54383383"/>
    <w:rsid w:val="54860917"/>
    <w:rsid w:val="555039D2"/>
    <w:rsid w:val="55570EFF"/>
    <w:rsid w:val="564B4A20"/>
    <w:rsid w:val="56A0323C"/>
    <w:rsid w:val="56F12796"/>
    <w:rsid w:val="5A2027F8"/>
    <w:rsid w:val="5B3311C3"/>
    <w:rsid w:val="60407A23"/>
    <w:rsid w:val="63033838"/>
    <w:rsid w:val="6774251A"/>
    <w:rsid w:val="685573EF"/>
    <w:rsid w:val="68C732CF"/>
    <w:rsid w:val="69644C01"/>
    <w:rsid w:val="6A237128"/>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5">
    <w:name w:val="page number"/>
    <w:basedOn w:val="14"/>
    <w:qFormat/>
    <w:uiPriority w:val="0"/>
  </w:style>
  <w:style w:type="character" w:styleId="16">
    <w:name w:val="Emphasis"/>
    <w:qFormat/>
    <w:uiPriority w:val="0"/>
    <w:rPr>
      <w:i/>
      <w:iCs/>
    </w:rPr>
  </w:style>
  <w:style w:type="character" w:styleId="17">
    <w:name w:val="Hyperlink"/>
    <w:basedOn w:val="14"/>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4"/>
    <w:link w:val="9"/>
    <w:qFormat/>
    <w:uiPriority w:val="0"/>
    <w:rPr>
      <w:rFonts w:ascii="宋体" w:eastAsia="仿宋"/>
      <w:sz w:val="18"/>
      <w:szCs w:val="18"/>
    </w:rPr>
  </w:style>
  <w:style w:type="character" w:customStyle="1" w:styleId="26">
    <w:name w:val="纯文本 Char"/>
    <w:basedOn w:val="14"/>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 w:type="paragraph" w:customStyle="1" w:styleId="28">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19</TotalTime>
  <ScaleCrop>false</ScaleCrop>
  <LinksUpToDate>false</LinksUpToDate>
  <CharactersWithSpaces>16707</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2019-10-25T07:45:25Z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